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4A0" w:firstRow="1" w:lastRow="0" w:firstColumn="1" w:lastColumn="0" w:noHBand="0" w:noVBand="1"/>
      </w:tblPr>
      <w:tblGrid>
        <w:gridCol w:w="3510"/>
        <w:gridCol w:w="938"/>
        <w:gridCol w:w="1312"/>
        <w:gridCol w:w="3420"/>
      </w:tblGrid>
      <w:tr>
        <w:trPr>
          <w:trHeight w:val="1266"/>
        </w:trPr>
        <w:tc>
          <w:tcPr>
            <w:tcW w:w="3510" w:type="dxa"/>
            <w:vAlign w:val="bottom"/>
          </w:tcPr>
          <w:p>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proofErr w:type="spellStart"/>
            <w:r>
              <w:rPr>
                <w:rFonts w:ascii="Times New Roman" w:eastAsia="Times New Roman" w:hAnsi="Times New Roman" w:cs="Times New Roman"/>
                <w:b/>
                <w:bCs/>
                <w:sz w:val="28"/>
                <w:szCs w:val="28"/>
              </w:rPr>
              <w:t>Кöрткерöс</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муниципальнöй</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районса</w:t>
            </w:r>
            <w:proofErr w:type="spellEnd"/>
          </w:p>
          <w:p>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Сöвет</w:t>
            </w:r>
            <w:proofErr w:type="spellEnd"/>
          </w:p>
          <w:p>
            <w:pPr>
              <w:spacing w:after="0" w:line="240" w:lineRule="auto"/>
              <w:jc w:val="center"/>
              <w:rPr>
                <w:rFonts w:ascii="Times New Roman" w:eastAsia="Times New Roman" w:hAnsi="Times New Roman" w:cs="Times New Roman"/>
                <w:b/>
                <w:sz w:val="28"/>
                <w:szCs w:val="28"/>
              </w:rPr>
            </w:pPr>
          </w:p>
        </w:tc>
        <w:tc>
          <w:tcPr>
            <w:tcW w:w="2250" w:type="dxa"/>
            <w:gridSpan w:val="2"/>
          </w:tcPr>
          <w:p>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lang w:eastAsia="ru-RU"/>
              </w:rPr>
              <w:drawing>
                <wp:inline distT="0" distB="0" distL="0" distR="0">
                  <wp:extent cx="665480" cy="687705"/>
                  <wp:effectExtent l="0" t="0" r="1270" b="0"/>
                  <wp:docPr id="1" name="Рисунок 1"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рткерос - копия"/>
                          <pic:cNvPicPr>
                            <a:picLocks noChangeAspect="1" noChangeArrowheads="1"/>
                          </pic:cNvPicPr>
                        </pic:nvPicPr>
                        <pic:blipFill>
                          <a:blip r:embed="rId5">
                            <a:lum bright="40000"/>
                            <a:extLst>
                              <a:ext uri="{28A0092B-C50C-407E-A947-70E740481C1C}">
                                <a14:useLocalDpi xmlns:a14="http://schemas.microsoft.com/office/drawing/2010/main" val="0"/>
                              </a:ext>
                            </a:extLst>
                          </a:blip>
                          <a:srcRect/>
                          <a:stretch>
                            <a:fillRect/>
                          </a:stretch>
                        </pic:blipFill>
                        <pic:spPr bwMode="auto">
                          <a:xfrm>
                            <a:off x="0" y="0"/>
                            <a:ext cx="665480" cy="687705"/>
                          </a:xfrm>
                          <a:prstGeom prst="rect">
                            <a:avLst/>
                          </a:prstGeom>
                          <a:noFill/>
                          <a:ln>
                            <a:noFill/>
                          </a:ln>
                        </pic:spPr>
                      </pic:pic>
                    </a:graphicData>
                  </a:graphic>
                </wp:inline>
              </w:drawing>
            </w:r>
          </w:p>
          <w:p>
            <w:pPr>
              <w:spacing w:after="0" w:line="240" w:lineRule="auto"/>
              <w:jc w:val="center"/>
              <w:rPr>
                <w:rFonts w:ascii="Times New Roman" w:eastAsia="Times New Roman" w:hAnsi="Times New Roman" w:cs="Times New Roman"/>
                <w:b/>
                <w:sz w:val="28"/>
                <w:szCs w:val="28"/>
              </w:rPr>
            </w:pPr>
          </w:p>
        </w:tc>
        <w:tc>
          <w:tcPr>
            <w:tcW w:w="3420" w:type="dxa"/>
            <w:hideMark/>
          </w:tcPr>
          <w:p>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Совет</w:t>
            </w:r>
          </w:p>
          <w:p>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муниципального района «Корткеросский»</w:t>
            </w:r>
          </w:p>
        </w:tc>
      </w:tr>
      <w:tr>
        <w:trPr>
          <w:cantSplit/>
          <w:trHeight w:val="293"/>
        </w:trPr>
        <w:tc>
          <w:tcPr>
            <w:tcW w:w="9180" w:type="dxa"/>
            <w:gridSpan w:val="4"/>
            <w:vAlign w:val="center"/>
          </w:tcPr>
          <w:p>
            <w:pPr>
              <w:spacing w:after="0" w:line="240" w:lineRule="auto"/>
              <w:jc w:val="center"/>
              <w:rPr>
                <w:rFonts w:ascii="Times New Roman" w:eastAsia="Times New Roman" w:hAnsi="Times New Roman" w:cs="Times New Roman"/>
                <w:b/>
                <w:sz w:val="32"/>
                <w:szCs w:val="20"/>
              </w:rPr>
            </w:pPr>
          </w:p>
        </w:tc>
      </w:tr>
      <w:tr>
        <w:trPr>
          <w:cantSplit/>
          <w:trHeight w:val="685"/>
        </w:trPr>
        <w:tc>
          <w:tcPr>
            <w:tcW w:w="9180" w:type="dxa"/>
            <w:gridSpan w:val="4"/>
            <w:vAlign w:val="center"/>
            <w:hideMark/>
          </w:tcPr>
          <w:p>
            <w:pPr>
              <w:keepNext/>
              <w:tabs>
                <w:tab w:val="left" w:pos="3828"/>
              </w:tabs>
              <w:spacing w:after="0" w:line="240" w:lineRule="auto"/>
              <w:jc w:val="center"/>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КЫВКÖРТÖД</w:t>
            </w:r>
          </w:p>
          <w:p>
            <w:pPr>
              <w:keepNext/>
              <w:tabs>
                <w:tab w:val="left" w:pos="3828"/>
              </w:tabs>
              <w:spacing w:after="0" w:line="240" w:lineRule="auto"/>
              <w:jc w:val="center"/>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pPr>
              <w:keepNext/>
              <w:tabs>
                <w:tab w:val="left" w:pos="3828"/>
              </w:tabs>
              <w:spacing w:after="0" w:line="240" w:lineRule="auto"/>
              <w:jc w:val="center"/>
              <w:outlineLvl w:val="2"/>
              <w:rPr>
                <w:rFonts w:ascii="Times New Roman" w:eastAsia="Times New Roman" w:hAnsi="Times New Roman" w:cs="Times New Roman"/>
                <w:sz w:val="32"/>
                <w:szCs w:val="20"/>
              </w:rPr>
            </w:pPr>
            <w:r>
              <w:rPr>
                <w:rFonts w:ascii="Times New Roman" w:eastAsia="Times New Roman" w:hAnsi="Times New Roman" w:cs="Times New Roman"/>
                <w:b/>
                <w:sz w:val="28"/>
                <w:szCs w:val="28"/>
              </w:rPr>
              <w:t>РЕШЕНИЕ</w:t>
            </w:r>
          </w:p>
        </w:tc>
      </w:tr>
      <w:tr>
        <w:trPr>
          <w:cantSplit/>
          <w:trHeight w:val="406"/>
        </w:trPr>
        <w:tc>
          <w:tcPr>
            <w:tcW w:w="4448" w:type="dxa"/>
            <w:gridSpan w:val="2"/>
            <w:vAlign w:val="center"/>
          </w:tcPr>
          <w:p>
            <w:pPr>
              <w:keepNext/>
              <w:spacing w:after="0" w:line="240" w:lineRule="auto"/>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17.04.2026 </w:t>
            </w:r>
          </w:p>
          <w:p>
            <w:pPr>
              <w:spacing w:after="0" w:line="240" w:lineRule="auto"/>
              <w:rPr>
                <w:rFonts w:ascii="Times New Roman" w:eastAsia="Times New Roman" w:hAnsi="Times New Roman" w:cs="Times New Roman"/>
                <w:sz w:val="20"/>
                <w:szCs w:val="20"/>
              </w:rPr>
            </w:pPr>
          </w:p>
        </w:tc>
        <w:tc>
          <w:tcPr>
            <w:tcW w:w="4732" w:type="dxa"/>
            <w:gridSpan w:val="2"/>
            <w:vAlign w:val="center"/>
            <w:hideMark/>
          </w:tcPr>
          <w:p>
            <w:pPr>
              <w:keepNext/>
              <w:spacing w:after="0" w:line="240" w:lineRule="auto"/>
              <w:jc w:val="right"/>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lang w:val="en-US"/>
              </w:rPr>
              <w:t>VIII</w:t>
            </w:r>
            <w:r>
              <w:rPr>
                <w:rFonts w:ascii="Times New Roman" w:eastAsia="Times New Roman" w:hAnsi="Times New Roman" w:cs="Times New Roman"/>
                <w:b/>
                <w:bCs/>
                <w:sz w:val="28"/>
                <w:szCs w:val="28"/>
              </w:rPr>
              <w:t>-6/1</w:t>
            </w:r>
          </w:p>
        </w:tc>
      </w:tr>
      <w:tr>
        <w:trPr>
          <w:cantSplit/>
          <w:trHeight w:val="996"/>
        </w:trPr>
        <w:tc>
          <w:tcPr>
            <w:tcW w:w="9180" w:type="dxa"/>
            <w:gridSpan w:val="4"/>
            <w:vAlign w:val="center"/>
            <w:hideMark/>
          </w:tcPr>
          <w:p>
            <w:pPr>
              <w:keepNext/>
              <w:tabs>
                <w:tab w:val="left" w:pos="3828"/>
              </w:tabs>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Республика Коми, Корткеросский р-н, </w:t>
            </w:r>
            <w:r>
              <w:rPr>
                <w:rFonts w:ascii="Times New Roman" w:eastAsia="Times New Roman" w:hAnsi="Times New Roman" w:cs="Times New Roman"/>
                <w:b/>
                <w:sz w:val="20"/>
                <w:szCs w:val="20"/>
              </w:rPr>
              <w:t xml:space="preserve"> с</w:t>
            </w:r>
            <w:r>
              <w:rPr>
                <w:rFonts w:ascii="Times New Roman" w:eastAsia="Times New Roman" w:hAnsi="Times New Roman" w:cs="Times New Roman"/>
                <w:sz w:val="28"/>
                <w:szCs w:val="28"/>
              </w:rPr>
              <w:t>. Корткерос</w:t>
            </w:r>
          </w:p>
        </w:tc>
      </w:tr>
    </w:tbl>
    <w:p>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pPr>
        <w:autoSpaceDE w:val="0"/>
        <w:autoSpaceDN w:val="0"/>
        <w:adjustRightInd w:val="0"/>
        <w:spacing w:after="0" w:line="240" w:lineRule="auto"/>
        <w:ind w:firstLine="540"/>
        <w:jc w:val="center"/>
        <w:outlineLvl w:val="1"/>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Об Отчете Главы муниципального района «Корткеросский» Республики Коми-руководителя администрации о результатах своей деятельности и деятельности администрации муниципального района «Корткеросский» Республики Коми за 2025 год</w:t>
      </w:r>
    </w:p>
    <w:p>
      <w:pPr>
        <w:spacing w:after="0" w:line="240" w:lineRule="auto"/>
        <w:jc w:val="both"/>
        <w:rPr>
          <w:rFonts w:ascii="Times New Roman" w:eastAsia="Times New Roman" w:hAnsi="Times New Roman" w:cs="Times New Roman"/>
          <w:b/>
          <w:sz w:val="28"/>
          <w:szCs w:val="20"/>
          <w:lang w:eastAsia="ru-RU"/>
        </w:rPr>
      </w:pPr>
    </w:p>
    <w:p>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Руководствуясь Уставом муниципального образования муниципального района «Корткеросский» Совет муниципального района «Корткеросский» решил:</w:t>
      </w:r>
    </w:p>
    <w:p>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Признать отчет Главы муниципального района «Корткеросский» Республики Коми-руководителя администрации Сажина К.А. о результатах своей деятельности и деятельности администрации муниципального района «Корткеросский» Республики Коми за 2025 год (Приложение) удовлетворительным. </w:t>
      </w:r>
    </w:p>
    <w:p>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Настоящее решение вступает в силу со дня его принятия. </w:t>
      </w:r>
    </w:p>
    <w:p>
      <w:pPr>
        <w:spacing w:after="0" w:line="240" w:lineRule="auto"/>
        <w:rPr>
          <w:rFonts w:ascii="Times New Roman" w:eastAsia="Times New Roman" w:hAnsi="Times New Roman" w:cs="Times New Roman"/>
          <w:b/>
          <w:sz w:val="28"/>
          <w:szCs w:val="28"/>
          <w:highlight w:val="yellow"/>
          <w:lang w:eastAsia="ru-RU"/>
        </w:rPr>
      </w:pPr>
    </w:p>
    <w:p>
      <w:pPr>
        <w:spacing w:after="0" w:line="240" w:lineRule="auto"/>
        <w:rPr>
          <w:rFonts w:ascii="Times New Roman" w:eastAsia="Times New Roman" w:hAnsi="Times New Roman" w:cs="Times New Roman"/>
          <w:b/>
          <w:sz w:val="28"/>
          <w:szCs w:val="28"/>
          <w:highlight w:val="yellow"/>
          <w:lang w:eastAsia="ru-RU"/>
        </w:rPr>
      </w:pPr>
    </w:p>
    <w:p>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Глава муниципального района </w:t>
      </w:r>
    </w:p>
    <w:p>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roofErr w:type="gramStart"/>
      <w:r>
        <w:rPr>
          <w:rFonts w:ascii="Times New Roman" w:eastAsia="Times New Roman" w:hAnsi="Times New Roman" w:cs="Times New Roman"/>
          <w:b/>
          <w:sz w:val="28"/>
          <w:szCs w:val="28"/>
          <w:lang w:eastAsia="ru-RU"/>
        </w:rPr>
        <w:t xml:space="preserve">Корткеросский»   </w:t>
      </w:r>
      <w:proofErr w:type="gramEnd"/>
      <w:r>
        <w:rPr>
          <w:rFonts w:ascii="Times New Roman" w:eastAsia="Times New Roman" w:hAnsi="Times New Roman" w:cs="Times New Roman"/>
          <w:b/>
          <w:sz w:val="28"/>
          <w:szCs w:val="28"/>
          <w:lang w:eastAsia="ru-RU"/>
        </w:rPr>
        <w:t xml:space="preserve">                                                                            К.А. Сажин</w:t>
      </w:r>
    </w:p>
    <w:p>
      <w:pPr>
        <w:spacing w:after="0" w:line="240" w:lineRule="auto"/>
        <w:rPr>
          <w:rFonts w:ascii="Times New Roman" w:eastAsia="Times New Roman" w:hAnsi="Times New Roman" w:cs="Times New Roman"/>
          <w:b/>
          <w:sz w:val="28"/>
          <w:szCs w:val="28"/>
          <w:lang w:eastAsia="ru-RU"/>
        </w:rPr>
      </w:pPr>
    </w:p>
    <w:p/>
    <w:p/>
    <w:p>
      <w:pPr>
        <w:sectPr>
          <w:pgSz w:w="11906" w:h="16838"/>
          <w:pgMar w:top="1134" w:right="850" w:bottom="1134" w:left="1701" w:header="708" w:footer="708" w:gutter="0"/>
          <w:cols w:space="708"/>
          <w:docGrid w:linePitch="360"/>
        </w:sectPr>
      </w:pPr>
    </w:p>
    <w:p>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Приложение</w:t>
      </w:r>
    </w:p>
    <w:p>
      <w:pPr>
        <w:spacing w:after="0" w:line="240" w:lineRule="auto"/>
        <w:ind w:left="5103"/>
        <w:jc w:val="center"/>
        <w:rPr>
          <w:rFonts w:ascii="Times New Roman" w:hAnsi="Times New Roman"/>
          <w:sz w:val="24"/>
          <w:szCs w:val="24"/>
        </w:rPr>
      </w:pPr>
      <w:r>
        <w:rPr>
          <w:rFonts w:ascii="Times New Roman" w:hAnsi="Times New Roman"/>
          <w:sz w:val="24"/>
          <w:szCs w:val="24"/>
        </w:rPr>
        <w:t>к решению Совета муниципального района «Корткеросский»</w:t>
      </w:r>
    </w:p>
    <w:p>
      <w:pPr>
        <w:spacing w:after="0" w:line="240" w:lineRule="auto"/>
        <w:ind w:left="5103"/>
        <w:contextualSpacing/>
        <w:jc w:val="center"/>
        <w:rPr>
          <w:rFonts w:ascii="Times New Roman" w:eastAsia="Times New Roman" w:hAnsi="Times New Roman" w:cs="Times New Roman"/>
          <w:b/>
          <w:sz w:val="24"/>
          <w:szCs w:val="24"/>
          <w:lang w:val="en-US" w:eastAsia="ru-RU"/>
        </w:rPr>
      </w:pPr>
      <w:r>
        <w:rPr>
          <w:rFonts w:ascii="Times New Roman" w:hAnsi="Times New Roman"/>
          <w:sz w:val="24"/>
          <w:szCs w:val="24"/>
        </w:rPr>
        <w:t>от 17.04.2026 №</w:t>
      </w:r>
      <w:r>
        <w:rPr>
          <w:rFonts w:ascii="Times New Roman" w:hAnsi="Times New Roman"/>
          <w:sz w:val="24"/>
          <w:szCs w:val="24"/>
          <w:lang w:val="en-US"/>
        </w:rPr>
        <w:t>VIII-6/1</w:t>
      </w:r>
    </w:p>
    <w:p>
      <w:pPr>
        <w:spacing w:after="0" w:line="240" w:lineRule="auto"/>
        <w:ind w:firstLine="567"/>
        <w:contextualSpacing/>
        <w:jc w:val="center"/>
        <w:rPr>
          <w:rFonts w:ascii="Times New Roman" w:eastAsia="Times New Roman" w:hAnsi="Times New Roman" w:cs="Times New Roman"/>
          <w:b/>
          <w:sz w:val="24"/>
          <w:szCs w:val="24"/>
          <w:lang w:eastAsia="ru-RU"/>
        </w:rPr>
      </w:pPr>
    </w:p>
    <w:p>
      <w:pPr>
        <w:spacing w:after="0" w:line="240" w:lineRule="auto"/>
        <w:ind w:firstLine="567"/>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Уважаемые депутаты, руководители предприятий, учреждений, представители общественных организаций!</w:t>
      </w:r>
    </w:p>
    <w:p>
      <w:pPr>
        <w:spacing w:after="0" w:line="240" w:lineRule="auto"/>
        <w:ind w:firstLine="567"/>
        <w:contextualSpacing/>
        <w:jc w:val="center"/>
        <w:rPr>
          <w:rFonts w:ascii="Times New Roman" w:eastAsia="Times New Roman" w:hAnsi="Times New Roman" w:cs="Times New Roman"/>
          <w:b/>
          <w:sz w:val="24"/>
          <w:szCs w:val="24"/>
          <w:lang w:eastAsia="ru-RU"/>
        </w:rPr>
      </w:pPr>
    </w:p>
    <w:p>
      <w:pPr>
        <w:spacing w:after="0" w:line="240" w:lineRule="auto"/>
        <w:ind w:firstLine="567"/>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Позвольте представить информацию о текущем состоянии социально-экономического положения района, обозначить основные итоги прошлого 2025 года, остановиться на проблемах и основных задачах на ближайшую перспективу</w:t>
      </w:r>
    </w:p>
    <w:p>
      <w:pPr>
        <w:spacing w:after="0" w:line="240" w:lineRule="auto"/>
        <w:ind w:firstLine="567"/>
        <w:contextualSpacing/>
        <w:jc w:val="both"/>
        <w:rPr>
          <w:rFonts w:ascii="Times New Roman" w:eastAsia="Times New Roman" w:hAnsi="Times New Roman" w:cs="Times New Roman"/>
          <w:b/>
          <w:bCs/>
          <w:color w:val="000000"/>
          <w:sz w:val="24"/>
          <w:szCs w:val="24"/>
          <w:lang w:eastAsia="ru-RU"/>
        </w:rPr>
      </w:pPr>
    </w:p>
    <w:p>
      <w:pPr>
        <w:spacing w:after="0" w:line="240" w:lineRule="auto"/>
        <w:contextualSpacing/>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БЮДЖЕТНАЯ ПОЛИТИКА</w:t>
      </w:r>
    </w:p>
    <w:p>
      <w:pPr>
        <w:spacing w:after="0" w:line="240" w:lineRule="auto"/>
        <w:ind w:firstLine="567"/>
        <w:jc w:val="both"/>
        <w:rPr>
          <w:rFonts w:ascii="Times New Roman" w:eastAsia="Times New Roman" w:hAnsi="Times New Roman" w:cs="Times New Roman"/>
          <w:sz w:val="24"/>
          <w:szCs w:val="24"/>
          <w:lang w:eastAsia="ru-RU"/>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Бюджет является основным ресурсом для выполнения социальных обязательств и обеспечения социально-экономической стабильности в районе. Решение задач в мобилизации доходов - важнейшее направление работы администрации муниципального района «Корткеросский».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Главным инструментом проведения в 2025 году социальной, финансовой и инвестиционной политики на территории муниципального образования муниципального района «Корткеросский» являлся бюджет района.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Бюджетная политика муниципального района «Корткеросский» в 2025 году была ориентирована на развитие и совершенствование организации бюджетного процесса, внедрение современных подходов при принятии управленческих решений, предполагающих результативное и эффективное использование бюджетных средств, неукоснительное соблюдение норм действующего бюджетного законодательства, обеспечение прозрачности и открытости муниципальных финансов.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Основным показателем финансовой устойчивости бюджета в 2025 году являлось отсутствие просроченной задолженности по текущим обязательствам и сокращением долговых обязательств.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Подводя итоги 2025 года, необходимо отметить следующие ключевые показатели исполнения бюджета муниципального образования «Корткеросский» по доходам.</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Общий объем поступлений</w:t>
      </w:r>
      <w:r>
        <w:rPr>
          <w:rFonts w:ascii="Times New Roman" w:eastAsia="Times New Roman" w:hAnsi="Times New Roman" w:cs="Times New Roman"/>
          <w:sz w:val="24"/>
          <w:szCs w:val="24"/>
          <w:lang w:eastAsia="ru-RU"/>
        </w:rPr>
        <w:t> в бюджет за 2025 год составил </w:t>
      </w:r>
      <w:r>
        <w:rPr>
          <w:rFonts w:ascii="Times New Roman" w:eastAsia="Times New Roman" w:hAnsi="Times New Roman" w:cs="Times New Roman"/>
          <w:bCs/>
          <w:sz w:val="24"/>
          <w:szCs w:val="24"/>
          <w:lang w:eastAsia="ru-RU"/>
        </w:rPr>
        <w:t>1 783,7 млн рублей</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Исполнение плановых назначений:</w:t>
      </w:r>
    </w:p>
    <w:p>
      <w:pPr>
        <w:numPr>
          <w:ilvl w:val="0"/>
          <w:numId w:val="1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первоначальному плану — </w:t>
      </w:r>
      <w:r>
        <w:rPr>
          <w:rFonts w:ascii="Times New Roman" w:eastAsia="Times New Roman" w:hAnsi="Times New Roman" w:cs="Times New Roman"/>
          <w:bCs/>
          <w:sz w:val="24"/>
          <w:szCs w:val="24"/>
          <w:lang w:eastAsia="ru-RU"/>
        </w:rPr>
        <w:t>114,6%</w:t>
      </w:r>
      <w:r>
        <w:rPr>
          <w:rFonts w:ascii="Times New Roman" w:eastAsia="Times New Roman" w:hAnsi="Times New Roman" w:cs="Times New Roman"/>
          <w:sz w:val="24"/>
          <w:szCs w:val="24"/>
          <w:lang w:eastAsia="ru-RU"/>
        </w:rPr>
        <w:t>.</w:t>
      </w:r>
    </w:p>
    <w:p>
      <w:pPr>
        <w:numPr>
          <w:ilvl w:val="0"/>
          <w:numId w:val="1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уточненному плану — </w:t>
      </w:r>
      <w:r>
        <w:rPr>
          <w:rFonts w:ascii="Times New Roman" w:eastAsia="Times New Roman" w:hAnsi="Times New Roman" w:cs="Times New Roman"/>
          <w:bCs/>
          <w:sz w:val="24"/>
          <w:szCs w:val="24"/>
          <w:lang w:eastAsia="ru-RU"/>
        </w:rPr>
        <w:t>100,7%</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Динамика к уровню 2024 года:</w:t>
      </w:r>
    </w:p>
    <w:p>
      <w:pPr>
        <w:numPr>
          <w:ilvl w:val="0"/>
          <w:numId w:val="12"/>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Общий прирост доходов составил </w:t>
      </w:r>
      <w:r>
        <w:rPr>
          <w:rFonts w:ascii="Times New Roman" w:eastAsia="Times New Roman" w:hAnsi="Times New Roman" w:cs="Times New Roman"/>
          <w:bCs/>
          <w:sz w:val="24"/>
          <w:szCs w:val="24"/>
          <w:lang w:eastAsia="ru-RU"/>
        </w:rPr>
        <w:t>2,2 млн рублей</w:t>
      </w:r>
      <w:r>
        <w:rPr>
          <w:rFonts w:ascii="Times New Roman" w:eastAsia="Times New Roman" w:hAnsi="Times New Roman" w:cs="Times New Roman"/>
          <w:sz w:val="24"/>
          <w:szCs w:val="24"/>
          <w:lang w:eastAsia="ru-RU"/>
        </w:rPr>
        <w:t> (темп роста — </w:t>
      </w:r>
      <w:r>
        <w:rPr>
          <w:rFonts w:ascii="Times New Roman" w:eastAsia="Times New Roman" w:hAnsi="Times New Roman" w:cs="Times New Roman"/>
          <w:bCs/>
          <w:sz w:val="24"/>
          <w:szCs w:val="24"/>
          <w:lang w:eastAsia="ru-RU"/>
        </w:rPr>
        <w:t>100,1%</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Структурная динамика:</w:t>
      </w:r>
    </w:p>
    <w:p>
      <w:pPr>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Налоговые и неналоговые доходы</w:t>
      </w:r>
      <w:r>
        <w:rPr>
          <w:rFonts w:ascii="Times New Roman" w:eastAsia="Times New Roman" w:hAnsi="Times New Roman" w:cs="Times New Roman"/>
          <w:sz w:val="24"/>
          <w:szCs w:val="24"/>
          <w:lang w:eastAsia="ru-RU"/>
        </w:rPr>
        <w:t> показали уверенный рост, увеличившись на </w:t>
      </w:r>
      <w:r>
        <w:rPr>
          <w:rFonts w:ascii="Times New Roman" w:eastAsia="Times New Roman" w:hAnsi="Times New Roman" w:cs="Times New Roman"/>
          <w:bCs/>
          <w:sz w:val="24"/>
          <w:szCs w:val="24"/>
          <w:lang w:eastAsia="ru-RU"/>
        </w:rPr>
        <w:t>8,8%</w:t>
      </w:r>
      <w:r>
        <w:rPr>
          <w:rFonts w:ascii="Times New Roman" w:eastAsia="Times New Roman" w:hAnsi="Times New Roman" w:cs="Times New Roman"/>
          <w:sz w:val="24"/>
          <w:szCs w:val="24"/>
          <w:lang w:eastAsia="ru-RU"/>
        </w:rPr>
        <w:t> (или на </w:t>
      </w:r>
      <w:r>
        <w:rPr>
          <w:rFonts w:ascii="Times New Roman" w:eastAsia="Times New Roman" w:hAnsi="Times New Roman" w:cs="Times New Roman"/>
          <w:bCs/>
          <w:sz w:val="24"/>
          <w:szCs w:val="24"/>
          <w:lang w:eastAsia="ru-RU"/>
        </w:rPr>
        <w:t>37 млн рублей</w:t>
      </w:r>
      <w:r>
        <w:rPr>
          <w:rFonts w:ascii="Times New Roman" w:eastAsia="Times New Roman" w:hAnsi="Times New Roman" w:cs="Times New Roman"/>
          <w:sz w:val="24"/>
          <w:szCs w:val="24"/>
          <w:lang w:eastAsia="ru-RU"/>
        </w:rPr>
        <w:t>) и достигнув объема </w:t>
      </w:r>
      <w:r>
        <w:rPr>
          <w:rFonts w:ascii="Times New Roman" w:eastAsia="Times New Roman" w:hAnsi="Times New Roman" w:cs="Times New Roman"/>
          <w:bCs/>
          <w:sz w:val="24"/>
          <w:szCs w:val="24"/>
          <w:lang w:eastAsia="ru-RU"/>
        </w:rPr>
        <w:t>458 млн рублей</w:t>
      </w:r>
      <w:r>
        <w:rPr>
          <w:rFonts w:ascii="Times New Roman" w:eastAsia="Times New Roman" w:hAnsi="Times New Roman" w:cs="Times New Roman"/>
          <w:sz w:val="24"/>
          <w:szCs w:val="24"/>
          <w:lang w:eastAsia="ru-RU"/>
        </w:rPr>
        <w:t>.</w:t>
      </w:r>
    </w:p>
    <w:p>
      <w:pPr>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Безвозмездные поступления</w:t>
      </w:r>
      <w:r>
        <w:rPr>
          <w:rFonts w:ascii="Times New Roman" w:eastAsia="Times New Roman" w:hAnsi="Times New Roman" w:cs="Times New Roman"/>
          <w:sz w:val="24"/>
          <w:szCs w:val="24"/>
          <w:lang w:eastAsia="ru-RU"/>
        </w:rPr>
        <w:t>, напротив, снизились на </w:t>
      </w:r>
      <w:r>
        <w:rPr>
          <w:rFonts w:ascii="Times New Roman" w:eastAsia="Times New Roman" w:hAnsi="Times New Roman" w:cs="Times New Roman"/>
          <w:bCs/>
          <w:sz w:val="24"/>
          <w:szCs w:val="24"/>
          <w:lang w:eastAsia="ru-RU"/>
        </w:rPr>
        <w:t>2,5%</w:t>
      </w:r>
      <w:r>
        <w:rPr>
          <w:rFonts w:ascii="Times New Roman" w:eastAsia="Times New Roman" w:hAnsi="Times New Roman" w:cs="Times New Roman"/>
          <w:sz w:val="24"/>
          <w:szCs w:val="24"/>
          <w:lang w:eastAsia="ru-RU"/>
        </w:rPr>
        <w:t> (или на </w:t>
      </w:r>
      <w:r>
        <w:rPr>
          <w:rFonts w:ascii="Times New Roman" w:eastAsia="Times New Roman" w:hAnsi="Times New Roman" w:cs="Times New Roman"/>
          <w:bCs/>
          <w:sz w:val="24"/>
          <w:szCs w:val="24"/>
          <w:lang w:eastAsia="ru-RU"/>
        </w:rPr>
        <w:t>34,6 млн рублей</w:t>
      </w:r>
      <w:r>
        <w:rPr>
          <w:rFonts w:ascii="Times New Roman" w:eastAsia="Times New Roman" w:hAnsi="Times New Roman" w:cs="Times New Roman"/>
          <w:sz w:val="24"/>
          <w:szCs w:val="24"/>
          <w:lang w:eastAsia="ru-RU"/>
        </w:rPr>
        <w:t>), составив </w:t>
      </w:r>
      <w:r>
        <w:rPr>
          <w:rFonts w:ascii="Times New Roman" w:eastAsia="Times New Roman" w:hAnsi="Times New Roman" w:cs="Times New Roman"/>
          <w:bCs/>
          <w:sz w:val="24"/>
          <w:szCs w:val="24"/>
          <w:lang w:eastAsia="ru-RU"/>
        </w:rPr>
        <w:t>1 325,7 млн рублей</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общий рост доходов обеспечен исключительно за счет увеличения собственной доходной базы района, что компенсировало снижение объема безвозмездных поступлений.</w:t>
      </w:r>
    </w:p>
    <w:p>
      <w:pPr>
        <w:shd w:val="clear" w:color="auto" w:fill="FFFFFF"/>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Ключевым источником доходов традиционно остается </w:t>
      </w:r>
      <w:r>
        <w:rPr>
          <w:rFonts w:ascii="Times New Roman" w:eastAsia="Calibri" w:hAnsi="Times New Roman" w:cs="Times New Roman"/>
          <w:bCs/>
          <w:color w:val="000000"/>
          <w:sz w:val="24"/>
          <w:szCs w:val="24"/>
        </w:rPr>
        <w:t>налог на доходы физических лиц</w:t>
      </w:r>
      <w:r>
        <w:rPr>
          <w:rFonts w:ascii="Times New Roman" w:eastAsia="Calibri" w:hAnsi="Times New Roman" w:cs="Times New Roman"/>
          <w:color w:val="000000"/>
          <w:sz w:val="24"/>
          <w:szCs w:val="24"/>
        </w:rPr>
        <w:t>, его доля в структуре составляет </w:t>
      </w:r>
      <w:r>
        <w:rPr>
          <w:rFonts w:ascii="Times New Roman" w:eastAsia="Calibri" w:hAnsi="Times New Roman" w:cs="Times New Roman"/>
          <w:bCs/>
          <w:color w:val="000000"/>
          <w:sz w:val="24"/>
          <w:szCs w:val="24"/>
        </w:rPr>
        <w:t>78%</w:t>
      </w:r>
      <w:r>
        <w:rPr>
          <w:rFonts w:ascii="Times New Roman" w:eastAsia="Calibri" w:hAnsi="Times New Roman" w:cs="Times New Roman"/>
          <w:color w:val="000000"/>
          <w:sz w:val="24"/>
          <w:szCs w:val="24"/>
        </w:rPr>
        <w:t>. По сравнению с 2024 годом поступления по НДФЛ выросли на </w:t>
      </w:r>
      <w:r>
        <w:rPr>
          <w:rFonts w:ascii="Times New Roman" w:eastAsia="Calibri" w:hAnsi="Times New Roman" w:cs="Times New Roman"/>
          <w:bCs/>
          <w:color w:val="000000"/>
          <w:sz w:val="24"/>
          <w:szCs w:val="24"/>
        </w:rPr>
        <w:t>20 млн рублей</w:t>
      </w:r>
      <w:r>
        <w:rPr>
          <w:rFonts w:ascii="Times New Roman" w:eastAsia="Calibri" w:hAnsi="Times New Roman" w:cs="Times New Roman"/>
          <w:color w:val="000000"/>
          <w:sz w:val="24"/>
          <w:szCs w:val="24"/>
        </w:rPr>
        <w:t>, темп роста – </w:t>
      </w:r>
      <w:r>
        <w:rPr>
          <w:rFonts w:ascii="Times New Roman" w:eastAsia="Calibri" w:hAnsi="Times New Roman" w:cs="Times New Roman"/>
          <w:bCs/>
          <w:color w:val="000000"/>
          <w:sz w:val="24"/>
          <w:szCs w:val="24"/>
        </w:rPr>
        <w:t>106%</w:t>
      </w:r>
      <w:r>
        <w:rPr>
          <w:rFonts w:ascii="Times New Roman" w:eastAsia="Calibri" w:hAnsi="Times New Roman" w:cs="Times New Roman"/>
          <w:color w:val="000000"/>
          <w:sz w:val="24"/>
          <w:szCs w:val="24"/>
        </w:rPr>
        <w:t>.</w:t>
      </w:r>
    </w:p>
    <w:p>
      <w:pPr>
        <w:shd w:val="clear" w:color="auto" w:fill="FFFFFF"/>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Наибольшую динамику демонстрирует </w:t>
      </w:r>
      <w:r>
        <w:rPr>
          <w:rFonts w:ascii="Times New Roman" w:eastAsia="Calibri" w:hAnsi="Times New Roman" w:cs="Times New Roman"/>
          <w:bCs/>
          <w:color w:val="000000"/>
          <w:sz w:val="24"/>
          <w:szCs w:val="24"/>
        </w:rPr>
        <w:t>налог на совокупный доход</w:t>
      </w:r>
      <w:r>
        <w:rPr>
          <w:rFonts w:ascii="Times New Roman" w:eastAsia="Calibri" w:hAnsi="Times New Roman" w:cs="Times New Roman"/>
          <w:color w:val="000000"/>
          <w:sz w:val="24"/>
          <w:szCs w:val="24"/>
        </w:rPr>
        <w:t>: прирост составил </w:t>
      </w:r>
      <w:r>
        <w:rPr>
          <w:rFonts w:ascii="Times New Roman" w:eastAsia="Calibri" w:hAnsi="Times New Roman" w:cs="Times New Roman"/>
          <w:bCs/>
          <w:color w:val="000000"/>
          <w:sz w:val="24"/>
          <w:szCs w:val="24"/>
        </w:rPr>
        <w:t>11,9 млн рублей</w:t>
      </w:r>
      <w:r>
        <w:rPr>
          <w:rFonts w:ascii="Times New Roman" w:eastAsia="Calibri" w:hAnsi="Times New Roman" w:cs="Times New Roman"/>
          <w:color w:val="000000"/>
          <w:sz w:val="24"/>
          <w:szCs w:val="24"/>
        </w:rPr>
        <w:t>, что в процентном выражении соответствует росту в </w:t>
      </w:r>
      <w:r>
        <w:rPr>
          <w:rFonts w:ascii="Times New Roman" w:eastAsia="Calibri" w:hAnsi="Times New Roman" w:cs="Times New Roman"/>
          <w:bCs/>
          <w:color w:val="000000"/>
          <w:sz w:val="24"/>
          <w:szCs w:val="24"/>
        </w:rPr>
        <w:t>1,5 раза (153,3%</w:t>
      </w:r>
      <w:r>
        <w:rPr>
          <w:rFonts w:ascii="Times New Roman" w:eastAsia="Calibri" w:hAnsi="Times New Roman" w:cs="Times New Roman"/>
          <w:color w:val="000000"/>
          <w:sz w:val="24"/>
          <w:szCs w:val="24"/>
        </w:rPr>
        <w:t> к уровню 2024 года). Основной фактор – увеличение поступлений по упрощенной системе налогообложения.</w:t>
      </w:r>
    </w:p>
    <w:p>
      <w:pPr>
        <w:shd w:val="clear" w:color="auto" w:fill="FFFFFF"/>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Также отмечается существенный рост </w:t>
      </w:r>
      <w:r>
        <w:rPr>
          <w:rFonts w:ascii="Times New Roman" w:eastAsia="Calibri" w:hAnsi="Times New Roman" w:cs="Times New Roman"/>
          <w:bCs/>
          <w:color w:val="000000"/>
          <w:sz w:val="24"/>
          <w:szCs w:val="24"/>
        </w:rPr>
        <w:t>доходов от использования имущества</w:t>
      </w:r>
      <w:r>
        <w:rPr>
          <w:rFonts w:ascii="Times New Roman" w:eastAsia="Calibri" w:hAnsi="Times New Roman" w:cs="Times New Roman"/>
          <w:color w:val="000000"/>
          <w:sz w:val="24"/>
          <w:szCs w:val="24"/>
        </w:rPr>
        <w:t> – </w:t>
      </w:r>
      <w:r>
        <w:rPr>
          <w:rFonts w:ascii="Times New Roman" w:eastAsia="Calibri" w:hAnsi="Times New Roman" w:cs="Times New Roman"/>
          <w:bCs/>
          <w:color w:val="000000"/>
          <w:sz w:val="24"/>
          <w:szCs w:val="24"/>
        </w:rPr>
        <w:t>плюс 5,8 млн рублей</w:t>
      </w:r>
      <w:r>
        <w:rPr>
          <w:rFonts w:ascii="Times New Roman" w:eastAsia="Calibri" w:hAnsi="Times New Roman" w:cs="Times New Roman"/>
          <w:color w:val="000000"/>
          <w:sz w:val="24"/>
          <w:szCs w:val="24"/>
        </w:rPr>
        <w:t> (или </w:t>
      </w:r>
      <w:r>
        <w:rPr>
          <w:rFonts w:ascii="Times New Roman" w:eastAsia="Calibri" w:hAnsi="Times New Roman" w:cs="Times New Roman"/>
          <w:bCs/>
          <w:color w:val="000000"/>
          <w:sz w:val="24"/>
          <w:szCs w:val="24"/>
        </w:rPr>
        <w:t>133,7%</w:t>
      </w:r>
      <w:r>
        <w:rPr>
          <w:rFonts w:ascii="Times New Roman" w:eastAsia="Calibri" w:hAnsi="Times New Roman" w:cs="Times New Roman"/>
          <w:color w:val="000000"/>
          <w:sz w:val="24"/>
          <w:szCs w:val="24"/>
        </w:rPr>
        <w:t> к предыдущему году).</w:t>
      </w:r>
    </w:p>
    <w:p>
      <w:pPr>
        <w:shd w:val="clear" w:color="auto" w:fill="FFFFFF"/>
        <w:spacing w:after="0" w:line="240" w:lineRule="auto"/>
        <w:ind w:firstLine="709"/>
        <w:jc w:val="both"/>
        <w:rPr>
          <w:rFonts w:ascii="Times New Roman" w:eastAsia="Calibri" w:hAnsi="Times New Roman" w:cs="Times New Roman"/>
          <w:color w:val="000000"/>
          <w:sz w:val="24"/>
          <w:szCs w:val="24"/>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данным Территориального органа Федеральной службы государственной статистики по Республике Коми, в январе–сентябре 2025 года темп роста фонда начисленной заработной платы работникам организаций муниципального района составил </w:t>
      </w:r>
      <w:r>
        <w:rPr>
          <w:rFonts w:ascii="Times New Roman" w:eastAsia="Times New Roman" w:hAnsi="Times New Roman" w:cs="Times New Roman"/>
          <w:b/>
          <w:bCs/>
          <w:sz w:val="24"/>
          <w:szCs w:val="24"/>
          <w:lang w:eastAsia="ru-RU"/>
        </w:rPr>
        <w:t>113,5%</w:t>
      </w:r>
      <w:r>
        <w:rPr>
          <w:rFonts w:ascii="Times New Roman" w:eastAsia="Times New Roman" w:hAnsi="Times New Roman" w:cs="Times New Roman"/>
          <w:sz w:val="24"/>
          <w:szCs w:val="24"/>
          <w:lang w:eastAsia="ru-RU"/>
        </w:rPr>
        <w:t xml:space="preserve">. Вместе с тем темп роста поступлений налога </w:t>
      </w:r>
      <w:r>
        <w:rPr>
          <w:rFonts w:ascii="Times New Roman" w:eastAsia="Times New Roman" w:hAnsi="Times New Roman" w:cs="Times New Roman"/>
          <w:b/>
          <w:sz w:val="24"/>
          <w:szCs w:val="24"/>
          <w:lang w:eastAsia="ru-RU"/>
        </w:rPr>
        <w:t>на доходы физических лиц (НДФЛ)</w:t>
      </w:r>
      <w:r>
        <w:rPr>
          <w:rFonts w:ascii="Times New Roman" w:eastAsia="Times New Roman" w:hAnsi="Times New Roman" w:cs="Times New Roman"/>
          <w:sz w:val="24"/>
          <w:szCs w:val="24"/>
          <w:lang w:eastAsia="ru-RU"/>
        </w:rPr>
        <w:t xml:space="preserve"> за аналогичный период сложился на уровне </w:t>
      </w:r>
      <w:r>
        <w:rPr>
          <w:rFonts w:ascii="Times New Roman" w:eastAsia="Times New Roman" w:hAnsi="Times New Roman" w:cs="Times New Roman"/>
          <w:b/>
          <w:bCs/>
          <w:sz w:val="24"/>
          <w:szCs w:val="24"/>
          <w:lang w:eastAsia="ru-RU"/>
        </w:rPr>
        <w:t>106,0%</w:t>
      </w:r>
      <w:r>
        <w:rPr>
          <w:rFonts w:ascii="Times New Roman" w:eastAsia="Times New Roman" w:hAnsi="Times New Roman" w:cs="Times New Roman"/>
          <w:sz w:val="24"/>
          <w:szCs w:val="24"/>
          <w:lang w:eastAsia="ru-RU"/>
        </w:rPr>
        <w:t>, что ниже темпа роста фонда оплаты труда на </w:t>
      </w:r>
      <w:r>
        <w:rPr>
          <w:rFonts w:ascii="Times New Roman" w:eastAsia="Times New Roman" w:hAnsi="Times New Roman" w:cs="Times New Roman"/>
          <w:b/>
          <w:bCs/>
          <w:sz w:val="24"/>
          <w:szCs w:val="24"/>
          <w:lang w:eastAsia="ru-RU"/>
        </w:rPr>
        <w:t>7,5 процентных пункта</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Основные причины несоответствия (снижения поступлений НДФЛ):</w:t>
      </w:r>
    </w:p>
    <w:p>
      <w:pPr>
        <w:tabs>
          <w:tab w:val="num" w:pos="360"/>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снижение поступлений от налогоплательщиков с основным видом деятельности «Распиловка и строгание древесины» составило </w:t>
      </w:r>
      <w:r>
        <w:rPr>
          <w:rFonts w:ascii="Times New Roman" w:eastAsia="Times New Roman" w:hAnsi="Times New Roman" w:cs="Times New Roman"/>
          <w:bCs/>
          <w:sz w:val="24"/>
          <w:szCs w:val="24"/>
          <w:lang w:eastAsia="ru-RU"/>
        </w:rPr>
        <w:t>8 471 тыс. руб.</w:t>
      </w:r>
      <w:r>
        <w:rPr>
          <w:rFonts w:ascii="Times New Roman" w:eastAsia="Times New Roman" w:hAnsi="Times New Roman" w:cs="Times New Roman"/>
          <w:sz w:val="24"/>
          <w:szCs w:val="24"/>
          <w:lang w:eastAsia="ru-RU"/>
        </w:rPr>
        <w:t>;</w:t>
      </w:r>
    </w:p>
    <w:p>
      <w:pPr>
        <w:tabs>
          <w:tab w:val="num" w:pos="360"/>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падение отчислений от производителя хлеба и мучных кондитерских изделий на </w:t>
      </w:r>
      <w:r>
        <w:rPr>
          <w:rFonts w:ascii="Times New Roman" w:eastAsia="Times New Roman" w:hAnsi="Times New Roman" w:cs="Times New Roman"/>
          <w:bCs/>
          <w:sz w:val="24"/>
          <w:szCs w:val="24"/>
          <w:lang w:eastAsia="ru-RU"/>
        </w:rPr>
        <w:t>1 684 тыс. руб.</w:t>
      </w:r>
      <w:r>
        <w:rPr>
          <w:rFonts w:ascii="Times New Roman" w:eastAsia="Times New Roman" w:hAnsi="Times New Roman" w:cs="Times New Roman"/>
          <w:sz w:val="24"/>
          <w:szCs w:val="24"/>
          <w:lang w:eastAsia="ru-RU"/>
        </w:rPr>
        <w:t>, обусловленное процедурой банкротства организации (дело № А29-3370/2025) и отсутствием денежных средств;</w:t>
      </w:r>
    </w:p>
    <w:p>
      <w:pPr>
        <w:tabs>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сокращение поступлений от больничных организаций на </w:t>
      </w:r>
      <w:r>
        <w:rPr>
          <w:rFonts w:ascii="Times New Roman" w:eastAsia="Times New Roman" w:hAnsi="Times New Roman" w:cs="Times New Roman"/>
          <w:bCs/>
          <w:sz w:val="24"/>
          <w:szCs w:val="24"/>
          <w:lang w:eastAsia="ru-RU"/>
        </w:rPr>
        <w:t>1 058 тыс. руб.</w:t>
      </w:r>
      <w:r>
        <w:rPr>
          <w:rFonts w:ascii="Times New Roman" w:eastAsia="Times New Roman" w:hAnsi="Times New Roman" w:cs="Times New Roman"/>
          <w:sz w:val="24"/>
          <w:szCs w:val="24"/>
          <w:lang w:eastAsia="ru-RU"/>
        </w:rPr>
        <w:t> в связи с неуплатой текущих платежей;</w:t>
      </w:r>
    </w:p>
    <w:p>
      <w:pPr>
        <w:tabs>
          <w:tab w:val="num" w:pos="3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снижение отчислений от организаций по подбору персонала на </w:t>
      </w:r>
      <w:r>
        <w:rPr>
          <w:rFonts w:ascii="Times New Roman" w:eastAsia="Times New Roman" w:hAnsi="Times New Roman" w:cs="Times New Roman"/>
          <w:bCs/>
          <w:sz w:val="24"/>
          <w:szCs w:val="24"/>
          <w:lang w:eastAsia="ru-RU"/>
        </w:rPr>
        <w:t>846 тыс. руб.</w:t>
      </w:r>
      <w:r>
        <w:rPr>
          <w:rFonts w:ascii="Times New Roman" w:eastAsia="Times New Roman" w:hAnsi="Times New Roman" w:cs="Times New Roman"/>
          <w:sz w:val="24"/>
          <w:szCs w:val="24"/>
          <w:lang w:eastAsia="ru-RU"/>
        </w:rPr>
        <w:t> вследствие прекращения деятельности 04.02.2025.</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отставание динамики НДФЛ от роста фонда заработной платы вызвано главным образом ухудшением финансового состояния или ликвидацией ряда налогоплательщиков в ключевых отраслях экономики района (лесопереработка, пищевая промышленность, здравоохранение, кадровые услуги).</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динамику поступлений по налогу, взимаемому в связи с применением </w:t>
      </w:r>
      <w:r>
        <w:rPr>
          <w:rFonts w:ascii="Times New Roman" w:eastAsia="Times New Roman" w:hAnsi="Times New Roman" w:cs="Times New Roman"/>
          <w:b/>
          <w:sz w:val="24"/>
          <w:szCs w:val="24"/>
          <w:lang w:eastAsia="ru-RU"/>
        </w:rPr>
        <w:t>упрощенной системы налогообложения (УСН),</w:t>
      </w:r>
      <w:r>
        <w:rPr>
          <w:rFonts w:ascii="Times New Roman" w:eastAsia="Times New Roman" w:hAnsi="Times New Roman" w:cs="Times New Roman"/>
          <w:sz w:val="24"/>
          <w:szCs w:val="24"/>
          <w:lang w:eastAsia="ru-RU"/>
        </w:rPr>
        <w:t xml:space="preserve"> в 2025 году оказали влияние как </w:t>
      </w:r>
      <w:r>
        <w:rPr>
          <w:rFonts w:ascii="Times New Roman" w:eastAsia="Times New Roman" w:hAnsi="Times New Roman" w:cs="Times New Roman"/>
          <w:bCs/>
          <w:sz w:val="24"/>
          <w:szCs w:val="24"/>
          <w:lang w:eastAsia="ru-RU"/>
        </w:rPr>
        <w:t>повышающие</w:t>
      </w:r>
      <w:r>
        <w:rPr>
          <w:rFonts w:ascii="Times New Roman" w:eastAsia="Times New Roman" w:hAnsi="Times New Roman" w:cs="Times New Roman"/>
          <w:sz w:val="24"/>
          <w:szCs w:val="24"/>
          <w:lang w:eastAsia="ru-RU"/>
        </w:rPr>
        <w:t>, так и </w:t>
      </w:r>
      <w:r>
        <w:rPr>
          <w:rFonts w:ascii="Times New Roman" w:eastAsia="Times New Roman" w:hAnsi="Times New Roman" w:cs="Times New Roman"/>
          <w:bCs/>
          <w:sz w:val="24"/>
          <w:szCs w:val="24"/>
          <w:lang w:eastAsia="ru-RU"/>
        </w:rPr>
        <w:t>понижающие факторы</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Повышающие факторы</w:t>
      </w:r>
    </w:p>
    <w:p>
      <w:pPr>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Cs/>
          <w:i/>
          <w:sz w:val="24"/>
          <w:szCs w:val="24"/>
          <w:lang w:eastAsia="ru-RU"/>
        </w:rPr>
        <w:t>Первое и основное – рост налоговых ставок.</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1 января 2025 года в соответствии с Законом Республики Коми от 31.10.2023 № 92-РЗ были увеличены ставки по упрощенной системе налогообложения:</w:t>
      </w:r>
    </w:p>
    <w:p>
      <w:pPr>
        <w:numPr>
          <w:ilvl w:val="0"/>
          <w:numId w:val="8"/>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объекту «доходы» – </w:t>
      </w:r>
      <w:r>
        <w:rPr>
          <w:rFonts w:ascii="Times New Roman" w:eastAsia="Times New Roman" w:hAnsi="Times New Roman" w:cs="Times New Roman"/>
          <w:b/>
          <w:bCs/>
          <w:sz w:val="24"/>
          <w:szCs w:val="24"/>
          <w:lang w:eastAsia="ru-RU"/>
        </w:rPr>
        <w:t>с 3% до 4</w:t>
      </w:r>
      <w:proofErr w:type="gramStart"/>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w:t>
      </w:r>
      <w:proofErr w:type="gramEnd"/>
    </w:p>
    <w:p>
      <w:pPr>
        <w:numPr>
          <w:ilvl w:val="0"/>
          <w:numId w:val="8"/>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объекту «доходы, уменьшенные на величину расходов» – </w:t>
      </w:r>
      <w:r>
        <w:rPr>
          <w:rFonts w:ascii="Times New Roman" w:eastAsia="Times New Roman" w:hAnsi="Times New Roman" w:cs="Times New Roman"/>
          <w:b/>
          <w:bCs/>
          <w:sz w:val="24"/>
          <w:szCs w:val="24"/>
          <w:lang w:eastAsia="ru-RU"/>
        </w:rPr>
        <w:t>с 7,5% до 10</w:t>
      </w:r>
      <w:proofErr w:type="gramStart"/>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w:t>
      </w:r>
      <w:proofErr w:type="gramEnd"/>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Важный нюанс:</w:t>
      </w:r>
      <w:r>
        <w:rPr>
          <w:rFonts w:ascii="Times New Roman" w:eastAsia="Times New Roman" w:hAnsi="Times New Roman" w:cs="Times New Roman"/>
          <w:sz w:val="24"/>
          <w:szCs w:val="24"/>
          <w:lang w:eastAsia="ru-RU"/>
        </w:rPr>
        <w:t> Уплата налога по итогам 2024 года (по срокам 28.03.2025 и 28.04.2025) производилась еще по старым ставкам – 3% и 7,5%. А вот авансовые платежи за 2025 год (сроки уплаты 28.04.2025, 28.07.2025 и 28.10.2025) рассчитывались уже </w:t>
      </w:r>
      <w:r>
        <w:rPr>
          <w:rFonts w:ascii="Times New Roman" w:eastAsia="Times New Roman" w:hAnsi="Times New Roman" w:cs="Times New Roman"/>
          <w:bCs/>
          <w:sz w:val="24"/>
          <w:szCs w:val="24"/>
          <w:lang w:eastAsia="ru-RU"/>
        </w:rPr>
        <w:t>по новым повышенным ставкам</w:t>
      </w:r>
      <w:r>
        <w:rPr>
          <w:rFonts w:ascii="Times New Roman" w:eastAsia="Times New Roman" w:hAnsi="Times New Roman" w:cs="Times New Roman"/>
          <w:sz w:val="24"/>
          <w:szCs w:val="24"/>
          <w:lang w:eastAsia="ru-RU"/>
        </w:rPr>
        <w:t> – 4% и 10%. Это обеспечило прирост поступлений во втором полугодии.</w:t>
      </w:r>
    </w:p>
    <w:p>
      <w:pPr>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Cs/>
          <w:i/>
          <w:sz w:val="24"/>
          <w:szCs w:val="24"/>
          <w:lang w:eastAsia="ru-RU"/>
        </w:rPr>
        <w:t>Второе – рост налоговой базы.</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Объективным фактором стал </w:t>
      </w:r>
      <w:r>
        <w:rPr>
          <w:rFonts w:ascii="Times New Roman" w:eastAsia="Times New Roman" w:hAnsi="Times New Roman" w:cs="Times New Roman"/>
          <w:bCs/>
          <w:sz w:val="24"/>
          <w:szCs w:val="24"/>
          <w:lang w:eastAsia="ru-RU"/>
        </w:rPr>
        <w:t>рост индекса потребительских цен</w:t>
      </w:r>
      <w:r>
        <w:rPr>
          <w:rFonts w:ascii="Times New Roman" w:eastAsia="Times New Roman" w:hAnsi="Times New Roman" w:cs="Times New Roman"/>
          <w:sz w:val="24"/>
          <w:szCs w:val="24"/>
          <w:lang w:eastAsia="ru-RU"/>
        </w:rPr>
        <w:t xml:space="preserve">. По данным </w:t>
      </w:r>
      <w:proofErr w:type="spellStart"/>
      <w:r>
        <w:rPr>
          <w:rFonts w:ascii="Times New Roman" w:eastAsia="Times New Roman" w:hAnsi="Times New Roman" w:cs="Times New Roman"/>
          <w:sz w:val="24"/>
          <w:szCs w:val="24"/>
          <w:lang w:eastAsia="ru-RU"/>
        </w:rPr>
        <w:t>Комистата</w:t>
      </w:r>
      <w:proofErr w:type="spellEnd"/>
      <w:r>
        <w:rPr>
          <w:rFonts w:ascii="Times New Roman" w:eastAsia="Times New Roman" w:hAnsi="Times New Roman" w:cs="Times New Roman"/>
          <w:sz w:val="24"/>
          <w:szCs w:val="24"/>
          <w:lang w:eastAsia="ru-RU"/>
        </w:rPr>
        <w:t>:</w:t>
      </w:r>
    </w:p>
    <w:p>
      <w:pPr>
        <w:numPr>
          <w:ilvl w:val="0"/>
          <w:numId w:val="9"/>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январь-декабрь 2024 года индекс составил </w:t>
      </w:r>
      <w:r>
        <w:rPr>
          <w:rFonts w:ascii="Times New Roman" w:eastAsia="Times New Roman" w:hAnsi="Times New Roman" w:cs="Times New Roman"/>
          <w:b/>
          <w:bCs/>
          <w:sz w:val="24"/>
          <w:szCs w:val="24"/>
          <w:lang w:eastAsia="ru-RU"/>
        </w:rPr>
        <w:t>108,1</w:t>
      </w:r>
      <w:proofErr w:type="gramStart"/>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w:t>
      </w:r>
      <w:proofErr w:type="gramEnd"/>
    </w:p>
    <w:p>
      <w:pPr>
        <w:numPr>
          <w:ilvl w:val="0"/>
          <w:numId w:val="9"/>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январь-сентябрь 2025 года – </w:t>
      </w:r>
      <w:r>
        <w:rPr>
          <w:rFonts w:ascii="Times New Roman" w:eastAsia="Times New Roman" w:hAnsi="Times New Roman" w:cs="Times New Roman"/>
          <w:b/>
          <w:bCs/>
          <w:sz w:val="24"/>
          <w:szCs w:val="24"/>
          <w:lang w:eastAsia="ru-RU"/>
        </w:rPr>
        <w:t>109,2%</w:t>
      </w:r>
      <w:r>
        <w:rPr>
          <w:rFonts w:ascii="Times New Roman" w:eastAsia="Times New Roman" w:hAnsi="Times New Roman" w:cs="Times New Roman"/>
          <w:sz w:val="24"/>
          <w:szCs w:val="24"/>
          <w:lang w:eastAsia="ru-RU"/>
        </w:rPr>
        <w:t> к аналогичному периоду прошлого года.</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Это естественным образом увеличило номинальные доходы налогоплательщиков и, соответственно, налоговую базу.</w:t>
      </w:r>
    </w:p>
    <w:p>
      <w:pPr>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Cs/>
          <w:i/>
          <w:sz w:val="24"/>
          <w:szCs w:val="24"/>
          <w:lang w:eastAsia="ru-RU"/>
        </w:rPr>
        <w:t>Третье – разовый эффект от миграции налогоплательщика.</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Отдельно стоит отметить </w:t>
      </w:r>
      <w:r>
        <w:rPr>
          <w:rFonts w:ascii="Times New Roman" w:eastAsia="Times New Roman" w:hAnsi="Times New Roman" w:cs="Times New Roman"/>
          <w:bCs/>
          <w:sz w:val="24"/>
          <w:szCs w:val="24"/>
          <w:lang w:eastAsia="ru-RU"/>
        </w:rPr>
        <w:t>увеличение поступлений</w:t>
      </w:r>
      <w:r>
        <w:rPr>
          <w:rFonts w:ascii="Times New Roman" w:eastAsia="Times New Roman" w:hAnsi="Times New Roman" w:cs="Times New Roman"/>
          <w:b/>
          <w:bCs/>
          <w:sz w:val="24"/>
          <w:szCs w:val="24"/>
          <w:lang w:eastAsia="ru-RU"/>
        </w:rPr>
        <w:t xml:space="preserve"> на 4 333 тыс. руб.</w:t>
      </w:r>
      <w:r>
        <w:rPr>
          <w:rFonts w:ascii="Times New Roman" w:eastAsia="Times New Roman" w:hAnsi="Times New Roman" w:cs="Times New Roman"/>
          <w:sz w:val="24"/>
          <w:szCs w:val="24"/>
          <w:lang w:eastAsia="ru-RU"/>
        </w:rPr>
        <w:t> по налогоплательщику с видом деятельности «Торговля розничная аудио- и видеотехникой». Рост связан с постановкой данного налогоплательщика на учет 20.12.2024 в связи с </w:t>
      </w:r>
      <w:r>
        <w:rPr>
          <w:rFonts w:ascii="Times New Roman" w:eastAsia="Times New Roman" w:hAnsi="Times New Roman" w:cs="Times New Roman"/>
          <w:bCs/>
          <w:sz w:val="24"/>
          <w:szCs w:val="24"/>
          <w:lang w:eastAsia="ru-RU"/>
        </w:rPr>
        <w:t>миграцией из УФНС России по Кировской области</w:t>
      </w:r>
      <w:r>
        <w:rPr>
          <w:rFonts w:ascii="Times New Roman" w:eastAsia="Times New Roman" w:hAnsi="Times New Roman" w:cs="Times New Roman"/>
          <w:sz w:val="24"/>
          <w:szCs w:val="24"/>
          <w:lang w:eastAsia="ru-RU"/>
        </w:rPr>
        <w:t xml:space="preserve">. </w:t>
      </w:r>
    </w:p>
    <w:p>
      <w:pPr>
        <w:spacing w:after="0" w:line="240" w:lineRule="auto"/>
        <w:ind w:firstLine="567"/>
        <w:jc w:val="both"/>
        <w:rPr>
          <w:rFonts w:ascii="Times New Roman" w:eastAsia="Times New Roman" w:hAnsi="Times New Roman" w:cs="Times New Roman"/>
          <w:sz w:val="24"/>
          <w:szCs w:val="24"/>
          <w:lang w:eastAsia="ru-RU"/>
        </w:rPr>
      </w:pPr>
    </w:p>
    <w:p>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Понижающие факторы</w:t>
      </w:r>
    </w:p>
    <w:p>
      <w:pPr>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Cs/>
          <w:i/>
          <w:sz w:val="24"/>
          <w:szCs w:val="24"/>
          <w:lang w:eastAsia="ru-RU"/>
        </w:rPr>
        <w:t>Первое – индексация страховых взносов.</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Согласно законодательству, фиксированные размеры страховых взносов на обязательное пенсионное и медицинское страхование на 2025 год были </w:t>
      </w:r>
      <w:r>
        <w:rPr>
          <w:rFonts w:ascii="Times New Roman" w:eastAsia="Times New Roman" w:hAnsi="Times New Roman" w:cs="Times New Roman"/>
          <w:bCs/>
          <w:sz w:val="24"/>
          <w:szCs w:val="24"/>
          <w:lang w:eastAsia="ru-RU"/>
        </w:rPr>
        <w:t>проиндексированы</w:t>
      </w:r>
      <w:r>
        <w:rPr>
          <w:rFonts w:ascii="Times New Roman" w:eastAsia="Times New Roman" w:hAnsi="Times New Roman" w:cs="Times New Roman"/>
          <w:b/>
          <w:bCs/>
          <w:sz w:val="24"/>
          <w:szCs w:val="24"/>
          <w:lang w:eastAsia="ru-RU"/>
        </w:rPr>
        <w:t xml:space="preserve"> на 8,4%</w:t>
      </w:r>
      <w:r>
        <w:rPr>
          <w:rFonts w:ascii="Times New Roman" w:eastAsia="Times New Roman" w:hAnsi="Times New Roman" w:cs="Times New Roman"/>
          <w:sz w:val="24"/>
          <w:szCs w:val="24"/>
          <w:lang w:eastAsia="ru-RU"/>
        </w:rPr>
        <w:t> – с 49 500 руб. за 2024 год до 53 658 руб. за 2025 год.</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Страховые взносы уменьшают сумму налога по УСН. Следовательно, рост взносов привел к </w:t>
      </w:r>
      <w:r>
        <w:rPr>
          <w:rFonts w:ascii="Times New Roman" w:eastAsia="Times New Roman" w:hAnsi="Times New Roman" w:cs="Times New Roman"/>
          <w:bCs/>
          <w:sz w:val="24"/>
          <w:szCs w:val="24"/>
          <w:lang w:eastAsia="ru-RU"/>
        </w:rPr>
        <w:t>увеличению налоговых вычетов</w:t>
      </w:r>
      <w:r>
        <w:rPr>
          <w:rFonts w:ascii="Times New Roman" w:eastAsia="Times New Roman" w:hAnsi="Times New Roman" w:cs="Times New Roman"/>
          <w:sz w:val="24"/>
          <w:szCs w:val="24"/>
          <w:lang w:eastAsia="ru-RU"/>
        </w:rPr>
        <w:t> и, как результат, к снижению суммы налога к уплате.</w:t>
      </w:r>
    </w:p>
    <w:p>
      <w:pPr>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Cs/>
          <w:i/>
          <w:sz w:val="24"/>
          <w:szCs w:val="24"/>
          <w:lang w:eastAsia="ru-RU"/>
        </w:rPr>
        <w:t>Второе – объективное снижение авансовых платежей.</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2025 году отмечено </w:t>
      </w:r>
      <w:r>
        <w:rPr>
          <w:rFonts w:ascii="Times New Roman" w:eastAsia="Times New Roman" w:hAnsi="Times New Roman" w:cs="Times New Roman"/>
          <w:bCs/>
          <w:sz w:val="24"/>
          <w:szCs w:val="24"/>
          <w:lang w:eastAsia="ru-RU"/>
        </w:rPr>
        <w:t>уменьшение авансовых платежей</w:t>
      </w:r>
      <w:r>
        <w:rPr>
          <w:rFonts w:ascii="Times New Roman" w:eastAsia="Times New Roman" w:hAnsi="Times New Roman" w:cs="Times New Roman"/>
          <w:sz w:val="24"/>
          <w:szCs w:val="24"/>
          <w:lang w:eastAsia="ru-RU"/>
        </w:rPr>
        <w:t> по УСН. Это связано с двумя причинами:</w:t>
      </w:r>
    </w:p>
    <w:p>
      <w:pPr>
        <w:numPr>
          <w:ilvl w:val="0"/>
          <w:numId w:val="1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снижение доходов у ряда налогоплательщиков по причине </w:t>
      </w:r>
      <w:r>
        <w:rPr>
          <w:rFonts w:ascii="Times New Roman" w:eastAsia="Times New Roman" w:hAnsi="Times New Roman" w:cs="Times New Roman"/>
          <w:bCs/>
          <w:sz w:val="24"/>
          <w:szCs w:val="24"/>
          <w:lang w:eastAsia="ru-RU"/>
        </w:rPr>
        <w:t>сокращения объемов работ и услуг</w:t>
      </w:r>
      <w:r>
        <w:rPr>
          <w:rFonts w:ascii="Times New Roman" w:eastAsia="Times New Roman" w:hAnsi="Times New Roman" w:cs="Times New Roman"/>
          <w:sz w:val="24"/>
          <w:szCs w:val="24"/>
          <w:lang w:eastAsia="ru-RU"/>
        </w:rPr>
        <w:t>;</w:t>
      </w:r>
    </w:p>
    <w:p>
      <w:pPr>
        <w:numPr>
          <w:ilvl w:val="0"/>
          <w:numId w:val="1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рост расходов</w:t>
      </w:r>
      <w:r>
        <w:rPr>
          <w:rFonts w:ascii="Times New Roman" w:eastAsia="Times New Roman" w:hAnsi="Times New Roman" w:cs="Times New Roman"/>
          <w:sz w:val="24"/>
          <w:szCs w:val="24"/>
          <w:lang w:eastAsia="ru-RU"/>
        </w:rPr>
        <w:t>, уменьшающих налоговую базу (для плательщиков, применяющих объект «доходы минус расходы»).</w:t>
      </w:r>
    </w:p>
    <w:p>
      <w:pPr>
        <w:spacing w:after="0" w:line="240" w:lineRule="auto"/>
        <w:ind w:firstLine="567"/>
        <w:jc w:val="both"/>
        <w:rPr>
          <w:rFonts w:ascii="Times New Roman" w:eastAsia="Times New Roman" w:hAnsi="Times New Roman" w:cs="Times New Roman"/>
          <w:sz w:val="24"/>
          <w:szCs w:val="24"/>
          <w:lang w:eastAsia="ru-RU"/>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Рост </w:t>
      </w:r>
      <w:r>
        <w:rPr>
          <w:rFonts w:ascii="Times New Roman" w:eastAsia="Times New Roman" w:hAnsi="Times New Roman" w:cs="Times New Roman"/>
          <w:b/>
          <w:sz w:val="24"/>
          <w:szCs w:val="24"/>
          <w:lang w:eastAsia="ru-RU"/>
        </w:rPr>
        <w:t>доходов от использования муниципального имущества</w:t>
      </w:r>
      <w:r>
        <w:rPr>
          <w:rFonts w:ascii="Times New Roman" w:eastAsia="Times New Roman" w:hAnsi="Times New Roman" w:cs="Times New Roman"/>
          <w:sz w:val="24"/>
          <w:szCs w:val="24"/>
          <w:lang w:eastAsia="ru-RU"/>
        </w:rPr>
        <w:t xml:space="preserve"> обеспечен за счет поступления прибыли от участия в хозяйственных обществах. Дивиденды по акциям и долям в уставных капиталах принесли в бюджет района </w:t>
      </w:r>
      <w:r>
        <w:rPr>
          <w:rFonts w:ascii="Times New Roman" w:eastAsia="Times New Roman" w:hAnsi="Times New Roman" w:cs="Times New Roman"/>
          <w:b/>
          <w:bCs/>
          <w:sz w:val="24"/>
          <w:szCs w:val="24"/>
          <w:lang w:eastAsia="ru-RU"/>
        </w:rPr>
        <w:t>5,3 млн рублей</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Доля безвозмездных поступлений от общего объема поступлений доходов бюджета муниципального района «Корткеросский» составила 75,7%.</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xml:space="preserve">Уровень безвозмездных поступлений к уровню 2024 года снизился на 2,3% или на 30 млн. руб. и исполнен в сумме </w:t>
      </w:r>
      <w:r>
        <w:rPr>
          <w:rFonts w:ascii="Times New Roman" w:eastAsia="Times New Roman" w:hAnsi="Times New Roman" w:cs="Times New Roman"/>
          <w:b/>
          <w:sz w:val="24"/>
          <w:szCs w:val="24"/>
          <w:shd w:val="clear" w:color="auto" w:fill="FFFFFF"/>
          <w:lang w:eastAsia="ru-RU"/>
        </w:rPr>
        <w:t>1 297,3</w:t>
      </w:r>
      <w:r>
        <w:rPr>
          <w:rFonts w:ascii="Times New Roman" w:eastAsia="Times New Roman" w:hAnsi="Times New Roman" w:cs="Times New Roman"/>
          <w:sz w:val="24"/>
          <w:szCs w:val="24"/>
          <w:shd w:val="clear" w:color="auto" w:fill="FFFFFF"/>
          <w:lang w:eastAsia="ru-RU"/>
        </w:rPr>
        <w:t xml:space="preserve"> млн. рублей.</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Необходимо отметить ключевые моменты.</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b/>
          <w:sz w:val="24"/>
          <w:szCs w:val="24"/>
          <w:shd w:val="clear" w:color="auto" w:fill="FFFFFF"/>
          <w:lang w:eastAsia="ru-RU"/>
        </w:rPr>
        <w:t>Первое.</w:t>
      </w:r>
      <w:r>
        <w:rPr>
          <w:rFonts w:ascii="Times New Roman" w:eastAsia="Times New Roman" w:hAnsi="Times New Roman" w:cs="Times New Roman"/>
          <w:sz w:val="24"/>
          <w:szCs w:val="24"/>
          <w:shd w:val="clear" w:color="auto" w:fill="FFFFFF"/>
          <w:lang w:eastAsia="ru-RU"/>
        </w:rPr>
        <w:t xml:space="preserve"> Снижение общего объема безвозмездных поступлений не является следствием ухудшения межбюджетных отношений. Оно обусловлено </w:t>
      </w:r>
      <w:r>
        <w:rPr>
          <w:rFonts w:ascii="Times New Roman" w:eastAsia="Times New Roman" w:hAnsi="Times New Roman" w:cs="Times New Roman"/>
          <w:bCs/>
          <w:sz w:val="24"/>
          <w:szCs w:val="24"/>
          <w:shd w:val="clear" w:color="auto" w:fill="FFFFFF"/>
          <w:lang w:eastAsia="ru-RU"/>
        </w:rPr>
        <w:t>объективными причинами</w:t>
      </w:r>
      <w:r>
        <w:rPr>
          <w:rFonts w:ascii="Times New Roman" w:eastAsia="Times New Roman" w:hAnsi="Times New Roman" w:cs="Times New Roman"/>
          <w:sz w:val="24"/>
          <w:szCs w:val="24"/>
          <w:shd w:val="clear" w:color="auto" w:fill="FFFFFF"/>
          <w:lang w:eastAsia="ru-RU"/>
        </w:rPr>
        <w:t xml:space="preserve"> – завершением в 2024 году крупных инфраструктурных проектов, </w:t>
      </w:r>
      <w:proofErr w:type="spellStart"/>
      <w:r>
        <w:rPr>
          <w:rFonts w:ascii="Times New Roman" w:eastAsia="Times New Roman" w:hAnsi="Times New Roman" w:cs="Times New Roman"/>
          <w:sz w:val="24"/>
          <w:szCs w:val="24"/>
          <w:shd w:val="clear" w:color="auto" w:fill="FFFFFF"/>
          <w:lang w:eastAsia="ru-RU"/>
        </w:rPr>
        <w:t>финансировавшихся</w:t>
      </w:r>
      <w:proofErr w:type="spellEnd"/>
      <w:r>
        <w:rPr>
          <w:rFonts w:ascii="Times New Roman" w:eastAsia="Times New Roman" w:hAnsi="Times New Roman" w:cs="Times New Roman"/>
          <w:sz w:val="24"/>
          <w:szCs w:val="24"/>
          <w:shd w:val="clear" w:color="auto" w:fill="FFFFFF"/>
          <w:lang w:eastAsia="ru-RU"/>
        </w:rPr>
        <w:t xml:space="preserve"> за счет субсидий (переселение граждан и создание модельных библиотек).</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b/>
          <w:sz w:val="24"/>
          <w:szCs w:val="24"/>
          <w:shd w:val="clear" w:color="auto" w:fill="FFFFFF"/>
          <w:lang w:eastAsia="ru-RU"/>
        </w:rPr>
        <w:t>Второе.</w:t>
      </w:r>
      <w:r>
        <w:rPr>
          <w:rFonts w:ascii="Times New Roman" w:eastAsia="Times New Roman" w:hAnsi="Times New Roman" w:cs="Times New Roman"/>
          <w:sz w:val="24"/>
          <w:szCs w:val="24"/>
          <w:shd w:val="clear" w:color="auto" w:fill="FFFFFF"/>
          <w:lang w:eastAsia="ru-RU"/>
        </w:rPr>
        <w:t xml:space="preserve"> Важно отметить </w:t>
      </w:r>
      <w:r>
        <w:rPr>
          <w:rFonts w:ascii="Times New Roman" w:eastAsia="Times New Roman" w:hAnsi="Times New Roman" w:cs="Times New Roman"/>
          <w:bCs/>
          <w:sz w:val="24"/>
          <w:szCs w:val="24"/>
          <w:shd w:val="clear" w:color="auto" w:fill="FFFFFF"/>
          <w:lang w:eastAsia="ru-RU"/>
        </w:rPr>
        <w:t>позитивные тенденции:</w:t>
      </w:r>
    </w:p>
    <w:p>
      <w:pPr>
        <w:numPr>
          <w:ilvl w:val="0"/>
          <w:numId w:val="14"/>
        </w:numPr>
        <w:tabs>
          <w:tab w:val="clear" w:pos="720"/>
          <w:tab w:val="num" w:pos="0"/>
        </w:tabs>
        <w:spacing w:after="0" w:line="240" w:lineRule="auto"/>
        <w:ind w:left="0" w:firstLine="360"/>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Существенно – </w:t>
      </w:r>
      <w:r>
        <w:rPr>
          <w:rFonts w:ascii="Times New Roman" w:eastAsia="Times New Roman" w:hAnsi="Times New Roman" w:cs="Times New Roman"/>
          <w:bCs/>
          <w:sz w:val="24"/>
          <w:szCs w:val="24"/>
          <w:shd w:val="clear" w:color="auto" w:fill="FFFFFF"/>
          <w:lang w:eastAsia="ru-RU"/>
        </w:rPr>
        <w:t>на 30,9%</w:t>
      </w:r>
      <w:r>
        <w:rPr>
          <w:rFonts w:ascii="Times New Roman" w:eastAsia="Times New Roman" w:hAnsi="Times New Roman" w:cs="Times New Roman"/>
          <w:sz w:val="24"/>
          <w:szCs w:val="24"/>
          <w:shd w:val="clear" w:color="auto" w:fill="FFFFFF"/>
          <w:lang w:eastAsia="ru-RU"/>
        </w:rPr>
        <w:t> – вырос объем дотаций, что укрепило финансовую устойчивость района.</w:t>
      </w:r>
    </w:p>
    <w:p>
      <w:pPr>
        <w:numPr>
          <w:ilvl w:val="0"/>
          <w:numId w:val="14"/>
        </w:numPr>
        <w:tabs>
          <w:tab w:val="clear" w:pos="720"/>
          <w:tab w:val="num" w:pos="0"/>
        </w:tabs>
        <w:spacing w:after="0" w:line="240" w:lineRule="auto"/>
        <w:ind w:left="0" w:firstLine="360"/>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В три раза увеличены субсидии на модернизацию школьных систем образования, что позволит улучшить материально-техническую базу наших школ.</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b/>
          <w:bCs/>
          <w:sz w:val="24"/>
          <w:szCs w:val="24"/>
          <w:shd w:val="clear" w:color="auto" w:fill="FFFFFF"/>
          <w:lang w:eastAsia="ru-RU"/>
        </w:rPr>
        <w:t>Третье.</w:t>
      </w:r>
      <w:r>
        <w:rPr>
          <w:rFonts w:ascii="Times New Roman" w:eastAsia="Times New Roman" w:hAnsi="Times New Roman" w:cs="Times New Roman"/>
          <w:sz w:val="24"/>
          <w:szCs w:val="24"/>
          <w:shd w:val="clear" w:color="auto" w:fill="FFFFFF"/>
          <w:lang w:eastAsia="ru-RU"/>
        </w:rPr>
        <w:t> Структура безвозмездных поступлений остается стабильной: основная доля приходится на субвенции (47,3%) – средства, направляемые на исполнение переданных государственных полномочий.</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Таким образом, несмотря на общее снижение объема безвозмездных поступлений, бюджетная политика района сохраняет социальную направленность, а произошедшие изменения носят структурный характер и не влияют на способность района выполнять свои обязательства перед населением.</w:t>
      </w:r>
    </w:p>
    <w:p>
      <w:pPr>
        <w:spacing w:after="0" w:line="240" w:lineRule="auto"/>
        <w:ind w:firstLine="567"/>
        <w:jc w:val="both"/>
        <w:rPr>
          <w:rFonts w:ascii="Times New Roman" w:eastAsia="Times New Roman" w:hAnsi="Times New Roman" w:cs="Times New Roman"/>
          <w:sz w:val="24"/>
          <w:szCs w:val="24"/>
          <w:shd w:val="clear" w:color="auto" w:fill="FFFFFF"/>
          <w:lang w:eastAsia="ru-RU"/>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Необходимо отметить, что ежегодно плановые поступления доходов районного бюджета на начало года значительно ниже плановых доходов по итогам года. Это говорит о том, что в течение года проводится планомерная работа по привлечению средств федерального и республиканского бюджета на реализацию различных проектов на территории района.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Учитывая </w:t>
      </w:r>
      <w:proofErr w:type="spellStart"/>
      <w:r>
        <w:rPr>
          <w:rFonts w:ascii="Times New Roman" w:eastAsia="Times New Roman" w:hAnsi="Times New Roman" w:cs="Times New Roman"/>
          <w:sz w:val="24"/>
          <w:szCs w:val="24"/>
          <w:lang w:eastAsia="ru-RU"/>
        </w:rPr>
        <w:t>дотационность</w:t>
      </w:r>
      <w:proofErr w:type="spellEnd"/>
      <w:r>
        <w:rPr>
          <w:rFonts w:ascii="Times New Roman" w:eastAsia="Times New Roman" w:hAnsi="Times New Roman" w:cs="Times New Roman"/>
          <w:sz w:val="24"/>
          <w:szCs w:val="24"/>
          <w:lang w:eastAsia="ru-RU"/>
        </w:rPr>
        <w:t xml:space="preserve"> бюджета района и ограниченность количества собственных средств, одной из основных задач по улучшению бюджетной наполняемости является привлечение финансовых средств из вышестоящих бюджетов. На условиях </w:t>
      </w:r>
      <w:proofErr w:type="spellStart"/>
      <w:r>
        <w:rPr>
          <w:rFonts w:ascii="Times New Roman" w:eastAsia="Times New Roman" w:hAnsi="Times New Roman" w:cs="Times New Roman"/>
          <w:sz w:val="24"/>
          <w:szCs w:val="24"/>
          <w:lang w:eastAsia="ru-RU"/>
        </w:rPr>
        <w:t>софинансирования</w:t>
      </w:r>
      <w:proofErr w:type="spellEnd"/>
      <w:r>
        <w:rPr>
          <w:rFonts w:ascii="Times New Roman" w:eastAsia="Times New Roman" w:hAnsi="Times New Roman" w:cs="Times New Roman"/>
          <w:sz w:val="24"/>
          <w:szCs w:val="24"/>
          <w:lang w:eastAsia="ru-RU"/>
        </w:rPr>
        <w:t xml:space="preserve"> в 2025 году консолидированным бюджетом района было предусмотрено 74,3 млн. рублей собственных средств, что позволило привлечь более 342,0 млн. рублей республиканских, 86,8 млн. рублей федеральных средств, 7,5 млн. рублей средств за счет вкладов граждан и АО «СЛПК». В сравнении с 2024 годом в 2025 году было запланировано </w:t>
      </w:r>
      <w:r>
        <w:rPr>
          <w:rFonts w:ascii="Times New Roman" w:eastAsia="Times New Roman" w:hAnsi="Times New Roman" w:cs="Times New Roman"/>
          <w:sz w:val="24"/>
          <w:szCs w:val="24"/>
          <w:lang w:eastAsia="ru-RU"/>
        </w:rPr>
        <w:lastRenderedPageBreak/>
        <w:t>привлечение средств из вышестоящих бюджетов меньше на 124,2 млн. рублей, за счет реализации в 2024 году программы по переселению граждан из аварийного жилья.</w:t>
      </w:r>
    </w:p>
    <w:p>
      <w:pPr>
        <w:spacing w:after="0" w:line="240" w:lineRule="auto"/>
        <w:ind w:firstLine="567"/>
        <w:jc w:val="both"/>
        <w:rPr>
          <w:rFonts w:ascii="Times New Roman" w:eastAsia="Times New Roman" w:hAnsi="Times New Roman" w:cs="Times New Roman"/>
          <w:color w:val="FF0000"/>
          <w:sz w:val="24"/>
          <w:szCs w:val="24"/>
          <w:lang w:eastAsia="ru-RU"/>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Расходная часть бюджета муниципального образования «Корткеросский» за 2025 год исполнена в сумме </w:t>
      </w:r>
      <w:r>
        <w:rPr>
          <w:rFonts w:ascii="Times New Roman" w:eastAsia="Times New Roman" w:hAnsi="Times New Roman" w:cs="Times New Roman"/>
          <w:b/>
          <w:sz w:val="24"/>
          <w:szCs w:val="24"/>
          <w:lang w:eastAsia="ru-RU"/>
        </w:rPr>
        <w:t>1 790,2 млн. рублей</w:t>
      </w:r>
      <w:r>
        <w:rPr>
          <w:rFonts w:ascii="Times New Roman" w:eastAsia="Times New Roman" w:hAnsi="Times New Roman" w:cs="Times New Roman"/>
          <w:sz w:val="24"/>
          <w:szCs w:val="24"/>
          <w:lang w:eastAsia="ru-RU"/>
        </w:rPr>
        <w:t>, что составляет 99,4% к уточнённому годовому плану и 98,9% к аналогичному периоду прошлого года.</w:t>
      </w:r>
    </w:p>
    <w:p>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рамках программного формата бюджета района в 2025 году реализовано 12 муниципальных программ, на их реализацию было направлено в сумме </w:t>
      </w:r>
      <w:r>
        <w:rPr>
          <w:rFonts w:ascii="Times New Roman" w:eastAsia="Times New Roman" w:hAnsi="Times New Roman" w:cs="Times New Roman"/>
          <w:b/>
          <w:color w:val="000000" w:themeColor="text1"/>
          <w:sz w:val="24"/>
          <w:szCs w:val="24"/>
          <w:lang w:eastAsia="ru-RU"/>
        </w:rPr>
        <w:t>1</w:t>
      </w:r>
      <w:r>
        <w:rPr>
          <w:rFonts w:ascii="Times New Roman" w:eastAsia="Times New Roman" w:hAnsi="Times New Roman" w:cs="Times New Roman"/>
          <w:b/>
          <w:color w:val="000000" w:themeColor="text1"/>
          <w:sz w:val="24"/>
          <w:szCs w:val="24"/>
          <w:lang w:val="en-US" w:eastAsia="ru-RU"/>
        </w:rPr>
        <w:t> </w:t>
      </w:r>
      <w:r>
        <w:rPr>
          <w:rFonts w:ascii="Times New Roman" w:eastAsia="Times New Roman" w:hAnsi="Times New Roman" w:cs="Times New Roman"/>
          <w:b/>
          <w:color w:val="000000" w:themeColor="text1"/>
          <w:sz w:val="24"/>
          <w:szCs w:val="24"/>
          <w:lang w:eastAsia="ru-RU"/>
        </w:rPr>
        <w:t>447,3 млн. рублей</w:t>
      </w:r>
      <w:r>
        <w:rPr>
          <w:rFonts w:ascii="Times New Roman" w:eastAsia="Times New Roman" w:hAnsi="Times New Roman" w:cs="Times New Roman"/>
          <w:color w:val="000000" w:themeColor="text1"/>
          <w:sz w:val="24"/>
          <w:szCs w:val="24"/>
          <w:lang w:eastAsia="ru-RU"/>
        </w:rPr>
        <w:t xml:space="preserve"> или </w:t>
      </w:r>
      <w:r>
        <w:rPr>
          <w:rFonts w:ascii="Times New Roman" w:eastAsia="Times New Roman" w:hAnsi="Times New Roman" w:cs="Times New Roman"/>
          <w:b/>
          <w:color w:val="000000" w:themeColor="text1"/>
          <w:sz w:val="24"/>
          <w:szCs w:val="24"/>
          <w:lang w:eastAsia="ru-RU"/>
        </w:rPr>
        <w:t>80,8 %,</w:t>
      </w:r>
      <w:r>
        <w:rPr>
          <w:rFonts w:ascii="Times New Roman" w:eastAsia="Times New Roman" w:hAnsi="Times New Roman" w:cs="Times New Roman"/>
          <w:color w:val="000000" w:themeColor="text1"/>
          <w:sz w:val="24"/>
          <w:szCs w:val="24"/>
          <w:lang w:eastAsia="ru-RU"/>
        </w:rPr>
        <w:t xml:space="preserve"> что позволило сконцентрировать усилия для комплексного и системного решения среднесрочных и долгосрочных проблем экономической и социальной политики района, обеспечить прозрачность и обоснованность процесса выбора целей, выбрать наиболее эффективные пути достижения результатов.</w:t>
      </w:r>
    </w:p>
    <w:p>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 итогам 2025 года 74,6% всех расходов пришлось на финансирование отраслей социальной сферы, что на 5,8% меньше уровня 2024 года. Структура расходов выглядит следующим образом:</w:t>
      </w:r>
    </w:p>
    <w:p>
      <w:pPr>
        <w:numPr>
          <w:ilvl w:val="0"/>
          <w:numId w:val="16"/>
        </w:numPr>
        <w:tabs>
          <w:tab w:val="clear" w:pos="720"/>
          <w:tab w:val="num" w:pos="567"/>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Образование — 57%</w:t>
      </w:r>
      <w:r>
        <w:rPr>
          <w:rFonts w:ascii="Times New Roman" w:eastAsia="Times New Roman" w:hAnsi="Times New Roman" w:cs="Times New Roman"/>
          <w:color w:val="000000" w:themeColor="text1"/>
          <w:sz w:val="24"/>
          <w:szCs w:val="24"/>
          <w:lang w:eastAsia="ru-RU"/>
        </w:rPr>
        <w:t> (рост на 6,6% по сравнению с 2024 годом). Увеличение связано с ростом субсидии на реализацию мероприятий по модернизации школьных систем образования.</w:t>
      </w:r>
    </w:p>
    <w:p>
      <w:pPr>
        <w:numPr>
          <w:ilvl w:val="0"/>
          <w:numId w:val="16"/>
        </w:numPr>
        <w:tabs>
          <w:tab w:val="clear" w:pos="720"/>
          <w:tab w:val="num" w:pos="567"/>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Культура — 10,9%</w:t>
      </w:r>
      <w:r>
        <w:rPr>
          <w:rFonts w:ascii="Times New Roman" w:eastAsia="Times New Roman" w:hAnsi="Times New Roman" w:cs="Times New Roman"/>
          <w:color w:val="000000" w:themeColor="text1"/>
          <w:sz w:val="24"/>
          <w:szCs w:val="24"/>
          <w:lang w:eastAsia="ru-RU"/>
        </w:rPr>
        <w:t> (снижение на 1,3%). Это обусловлено тем, что в 2024 году выделялись средства на создание модельных муниципальных библиотек, а также субсидии на развитие сети культурно-досуговых учреждений (капитальный ремонт в сельской местности).</w:t>
      </w:r>
    </w:p>
    <w:p>
      <w:pPr>
        <w:numPr>
          <w:ilvl w:val="0"/>
          <w:numId w:val="16"/>
        </w:numPr>
        <w:tabs>
          <w:tab w:val="clear" w:pos="720"/>
          <w:tab w:val="num" w:pos="567"/>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Физическая культура и спорт — 4,6%</w:t>
      </w:r>
      <w:r>
        <w:rPr>
          <w:rFonts w:ascii="Times New Roman" w:eastAsia="Times New Roman" w:hAnsi="Times New Roman" w:cs="Times New Roman"/>
          <w:color w:val="000000" w:themeColor="text1"/>
          <w:sz w:val="24"/>
          <w:szCs w:val="24"/>
          <w:lang w:eastAsia="ru-RU"/>
        </w:rPr>
        <w:t> (рост на 0,6%). Положительная динамика связана с индексацией расходов на оплату труда и коммунальные услуги, а также с увеличением субсидии на реализацию народных проектов в рамках проекта «Народный бюджет».</w:t>
      </w:r>
    </w:p>
    <w:p>
      <w:pPr>
        <w:numPr>
          <w:ilvl w:val="0"/>
          <w:numId w:val="16"/>
        </w:numPr>
        <w:tabs>
          <w:tab w:val="clear" w:pos="720"/>
          <w:tab w:val="num" w:pos="567"/>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Социальная политика — 2,1%</w:t>
      </w:r>
      <w:r>
        <w:rPr>
          <w:rFonts w:ascii="Times New Roman" w:eastAsia="Times New Roman" w:hAnsi="Times New Roman" w:cs="Times New Roman"/>
          <w:color w:val="000000" w:themeColor="text1"/>
          <w:sz w:val="24"/>
          <w:szCs w:val="24"/>
          <w:lang w:eastAsia="ru-RU"/>
        </w:rPr>
        <w:t> (снижение на 0,1%). Сокращение вызвано уменьшением объема субвенции из республиканского бюджета на обеспечение жильем детей-сирот и субсидии на социальные выплаты молодым семьям.</w:t>
      </w:r>
    </w:p>
    <w:p>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полном объеме были профинансированы первоочередные расходы, связанные с выплатой заработной платы, предоставлением мер социальной поддержки отдельным категориям граждан, расходы на питание детей в общеобразовательных и дошкольных учреждениях, оплата учреждениями коммунальных услуг. </w:t>
      </w:r>
    </w:p>
    <w:p>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Значительную долю расходов в общем объеме расходов за 2025 год составили расходы на реализацию муниципальной программы «Развитие образования» в сумме 1 009,3 млн. рублей, удельный вес составил 56,4%. </w:t>
      </w:r>
    </w:p>
    <w:p>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Инвестиционные расходы осуществлялись в соответствии с перечнем строек и объектов. В общем объеме расходов они составили 19,1 млн рублей, что в 9,6 раза ниже уровня 2024 года. Средства направлены на приобретение жилых помещений для переселения граждан из аварийного жилья, строительство систем коммунальной инфраструктуры, предоставление социальной поддержки по обеспечению жильем детей-сирот, а также на приобретение помещений в муниципальную собственность.</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территории района успешно реализуются мероприятия по исполнению наказов избирателей за счет средств республиканского бюджета. </w:t>
      </w:r>
      <w:r>
        <w:rPr>
          <w:rFonts w:ascii="Times New Roman" w:eastAsia="Times New Roman" w:hAnsi="Times New Roman" w:cs="Times New Roman"/>
          <w:bCs/>
          <w:sz w:val="24"/>
          <w:szCs w:val="24"/>
          <w:lang w:eastAsia="ru-RU"/>
        </w:rPr>
        <w:t>В 2025 году</w:t>
      </w:r>
      <w:r>
        <w:rPr>
          <w:rFonts w:ascii="Times New Roman" w:eastAsia="Times New Roman" w:hAnsi="Times New Roman" w:cs="Times New Roman"/>
          <w:sz w:val="24"/>
          <w:szCs w:val="24"/>
          <w:lang w:eastAsia="ru-RU"/>
        </w:rPr>
        <w:t> в рамках данного направления освоено </w:t>
      </w:r>
      <w:r>
        <w:rPr>
          <w:rFonts w:ascii="Times New Roman" w:eastAsia="Times New Roman" w:hAnsi="Times New Roman" w:cs="Times New Roman"/>
          <w:bCs/>
          <w:sz w:val="24"/>
          <w:szCs w:val="24"/>
          <w:lang w:eastAsia="ru-RU"/>
        </w:rPr>
        <w:t>1,7 млн рублей</w:t>
      </w:r>
      <w:r>
        <w:rPr>
          <w:rFonts w:ascii="Times New Roman" w:eastAsia="Times New Roman" w:hAnsi="Times New Roman" w:cs="Times New Roman"/>
          <w:sz w:val="24"/>
          <w:szCs w:val="24"/>
          <w:lang w:eastAsia="ru-RU"/>
        </w:rPr>
        <w:t> на развитие материально-технической базы дополнительного образования. Средства направлены на </w:t>
      </w:r>
      <w:r>
        <w:rPr>
          <w:rFonts w:ascii="Times New Roman" w:eastAsia="Times New Roman" w:hAnsi="Times New Roman" w:cs="Times New Roman"/>
          <w:bCs/>
          <w:sz w:val="24"/>
          <w:szCs w:val="24"/>
          <w:lang w:eastAsia="ru-RU"/>
        </w:rPr>
        <w:t>приобретение оборудования для центра робототехники</w:t>
      </w:r>
      <w:r>
        <w:rPr>
          <w:rFonts w:ascii="Times New Roman" w:eastAsia="Times New Roman" w:hAnsi="Times New Roman" w:cs="Times New Roman"/>
          <w:sz w:val="24"/>
          <w:szCs w:val="24"/>
          <w:lang w:eastAsia="ru-RU"/>
        </w:rPr>
        <w:t> на базе Районного центра дополнительного образования (РЦДО) в с. Корткерос.</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Важным инструментом решения локальных задач на территории района является программа инициативного бюджетирования «Народный бюджет».</w:t>
      </w:r>
      <w:r>
        <w:rPr>
          <w:rFonts w:ascii="Times New Roman" w:eastAsia="Times New Roman" w:hAnsi="Times New Roman" w:cs="Times New Roman"/>
          <w:bCs/>
          <w:color w:val="0F1115"/>
          <w:sz w:val="24"/>
          <w:szCs w:val="24"/>
          <w:lang w:eastAsia="ru-RU"/>
        </w:rPr>
        <w:t xml:space="preserve"> </w:t>
      </w:r>
      <w:r>
        <w:rPr>
          <w:rFonts w:ascii="Times New Roman" w:eastAsia="Times New Roman" w:hAnsi="Times New Roman" w:cs="Times New Roman"/>
          <w:bCs/>
          <w:sz w:val="24"/>
          <w:szCs w:val="24"/>
          <w:lang w:eastAsia="ru-RU"/>
        </w:rPr>
        <w:t>За три года</w:t>
      </w:r>
      <w:r>
        <w:rPr>
          <w:rFonts w:ascii="Times New Roman" w:eastAsia="Times New Roman" w:hAnsi="Times New Roman" w:cs="Times New Roman"/>
          <w:sz w:val="24"/>
          <w:szCs w:val="24"/>
          <w:lang w:eastAsia="ru-RU"/>
        </w:rPr>
        <w:t> благодаря этой программе в районе реализовано </w:t>
      </w:r>
      <w:r>
        <w:rPr>
          <w:rFonts w:ascii="Times New Roman" w:eastAsia="Times New Roman" w:hAnsi="Times New Roman" w:cs="Times New Roman"/>
          <w:bCs/>
          <w:sz w:val="24"/>
          <w:szCs w:val="24"/>
          <w:lang w:eastAsia="ru-RU"/>
        </w:rPr>
        <w:t>78 народных проектов</w:t>
      </w:r>
      <w:r>
        <w:rPr>
          <w:rFonts w:ascii="Times New Roman" w:eastAsia="Times New Roman" w:hAnsi="Times New Roman" w:cs="Times New Roman"/>
          <w:sz w:val="24"/>
          <w:szCs w:val="24"/>
          <w:lang w:eastAsia="ru-RU"/>
        </w:rPr>
        <w:t xml:space="preserve"> на общую сумму </w:t>
      </w:r>
      <w:r>
        <w:rPr>
          <w:rFonts w:ascii="Times New Roman" w:eastAsia="Times New Roman" w:hAnsi="Times New Roman" w:cs="Times New Roman"/>
          <w:bCs/>
          <w:sz w:val="24"/>
          <w:szCs w:val="24"/>
          <w:lang w:eastAsia="ru-RU"/>
        </w:rPr>
        <w:t>104,4 млн рублей</w:t>
      </w:r>
      <w:r>
        <w:rPr>
          <w:rFonts w:ascii="Times New Roman" w:eastAsia="Times New Roman" w:hAnsi="Times New Roman" w:cs="Times New Roman"/>
          <w:sz w:val="24"/>
          <w:szCs w:val="24"/>
          <w:lang w:eastAsia="ru-RU"/>
        </w:rPr>
        <w:t>. Основной объем средств – </w:t>
      </w:r>
      <w:r>
        <w:rPr>
          <w:rFonts w:ascii="Times New Roman" w:eastAsia="Times New Roman" w:hAnsi="Times New Roman" w:cs="Times New Roman"/>
          <w:bCs/>
          <w:sz w:val="24"/>
          <w:szCs w:val="24"/>
          <w:lang w:eastAsia="ru-RU"/>
        </w:rPr>
        <w:t>88,6 млн рублей</w:t>
      </w:r>
      <w:r>
        <w:rPr>
          <w:rFonts w:ascii="Times New Roman" w:eastAsia="Times New Roman" w:hAnsi="Times New Roman" w:cs="Times New Roman"/>
          <w:sz w:val="24"/>
          <w:szCs w:val="24"/>
          <w:lang w:eastAsia="ru-RU"/>
        </w:rPr>
        <w:t xml:space="preserve"> – привлечен из регионального бюджета, </w:t>
      </w:r>
      <w:r>
        <w:rPr>
          <w:rFonts w:ascii="Times New Roman" w:eastAsia="Times New Roman" w:hAnsi="Times New Roman" w:cs="Times New Roman"/>
          <w:sz w:val="24"/>
          <w:szCs w:val="24"/>
          <w:lang w:eastAsia="ru-RU"/>
        </w:rPr>
        <w:lastRenderedPageBreak/>
        <w:t>порядка </w:t>
      </w:r>
      <w:r>
        <w:rPr>
          <w:rFonts w:ascii="Times New Roman" w:eastAsia="Times New Roman" w:hAnsi="Times New Roman" w:cs="Times New Roman"/>
          <w:bCs/>
          <w:sz w:val="24"/>
          <w:szCs w:val="24"/>
          <w:lang w:eastAsia="ru-RU"/>
        </w:rPr>
        <w:t>15 млн рублей</w:t>
      </w:r>
      <w:r>
        <w:rPr>
          <w:rFonts w:ascii="Times New Roman" w:eastAsia="Times New Roman" w:hAnsi="Times New Roman" w:cs="Times New Roman"/>
          <w:sz w:val="24"/>
          <w:szCs w:val="24"/>
          <w:lang w:eastAsia="ru-RU"/>
        </w:rPr>
        <w:t> из местного бюджета, и </w:t>
      </w:r>
      <w:r>
        <w:rPr>
          <w:rFonts w:ascii="Times New Roman" w:eastAsia="Times New Roman" w:hAnsi="Times New Roman" w:cs="Times New Roman"/>
          <w:bCs/>
          <w:sz w:val="24"/>
          <w:szCs w:val="24"/>
          <w:lang w:eastAsia="ru-RU"/>
        </w:rPr>
        <w:t>1 млн рублей</w:t>
      </w:r>
      <w:r>
        <w:rPr>
          <w:rFonts w:ascii="Times New Roman" w:eastAsia="Times New Roman" w:hAnsi="Times New Roman" w:cs="Times New Roman"/>
          <w:sz w:val="24"/>
          <w:szCs w:val="24"/>
          <w:lang w:eastAsia="ru-RU"/>
        </w:rPr>
        <w:t> – вклад населения и организаций.</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В 2025 году</w:t>
      </w:r>
      <w:r>
        <w:rPr>
          <w:rFonts w:ascii="Times New Roman" w:eastAsia="Times New Roman" w:hAnsi="Times New Roman" w:cs="Times New Roman"/>
          <w:sz w:val="24"/>
          <w:szCs w:val="24"/>
          <w:lang w:eastAsia="ru-RU"/>
        </w:rPr>
        <w:t> реализовано </w:t>
      </w:r>
      <w:r>
        <w:rPr>
          <w:rFonts w:ascii="Times New Roman" w:eastAsia="Times New Roman" w:hAnsi="Times New Roman" w:cs="Times New Roman"/>
          <w:bCs/>
          <w:sz w:val="24"/>
          <w:szCs w:val="24"/>
          <w:lang w:eastAsia="ru-RU"/>
        </w:rPr>
        <w:t>25 проектов</w:t>
      </w:r>
      <w:r>
        <w:rPr>
          <w:rFonts w:ascii="Times New Roman" w:eastAsia="Times New Roman" w:hAnsi="Times New Roman" w:cs="Times New Roman"/>
          <w:sz w:val="24"/>
          <w:szCs w:val="24"/>
          <w:lang w:eastAsia="ru-RU"/>
        </w:rPr>
        <w:t> по 11 направлениям. Объем финансирования составил </w:t>
      </w:r>
      <w:r>
        <w:rPr>
          <w:rFonts w:ascii="Times New Roman" w:eastAsia="Times New Roman" w:hAnsi="Times New Roman" w:cs="Times New Roman"/>
          <w:bCs/>
          <w:sz w:val="24"/>
          <w:szCs w:val="24"/>
          <w:lang w:eastAsia="ru-RU"/>
        </w:rPr>
        <w:t>32,7 млн рублей</w:t>
      </w:r>
      <w:r>
        <w:rPr>
          <w:rFonts w:ascii="Times New Roman" w:eastAsia="Times New Roman" w:hAnsi="Times New Roman" w:cs="Times New Roman"/>
          <w:sz w:val="24"/>
          <w:szCs w:val="24"/>
          <w:lang w:eastAsia="ru-RU"/>
        </w:rPr>
        <w:t>, что на </w:t>
      </w:r>
      <w:r>
        <w:rPr>
          <w:rFonts w:ascii="Times New Roman" w:eastAsia="Times New Roman" w:hAnsi="Times New Roman" w:cs="Times New Roman"/>
          <w:bCs/>
          <w:sz w:val="24"/>
          <w:szCs w:val="24"/>
          <w:lang w:eastAsia="ru-RU"/>
        </w:rPr>
        <w:t>7,4 млн рублей меньше</w:t>
      </w:r>
      <w:r>
        <w:rPr>
          <w:rFonts w:ascii="Times New Roman" w:eastAsia="Times New Roman" w:hAnsi="Times New Roman" w:cs="Times New Roman"/>
          <w:sz w:val="24"/>
          <w:szCs w:val="24"/>
          <w:lang w:eastAsia="ru-RU"/>
        </w:rPr>
        <w:t>, чем в 2024 году.</w:t>
      </w:r>
      <w:r>
        <w:rPr>
          <w:rFonts w:ascii="Times New Roman" w:hAnsi="Times New Roman" w:cs="Times New Roman"/>
          <w:color w:val="0F1115"/>
          <w:sz w:val="24"/>
          <w:szCs w:val="24"/>
          <w:shd w:val="clear" w:color="auto" w:fill="FFFFFF"/>
        </w:rPr>
        <w:t xml:space="preserve"> </w:t>
      </w:r>
      <w:r>
        <w:rPr>
          <w:rFonts w:ascii="Times New Roman" w:eastAsia="Times New Roman" w:hAnsi="Times New Roman" w:cs="Times New Roman"/>
          <w:sz w:val="24"/>
          <w:szCs w:val="24"/>
          <w:lang w:eastAsia="ru-RU"/>
        </w:rPr>
        <w:t>Снижение объемов финансирования сопровождалось уменьшением количества проектов.</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протяжении нескольких лет проявляют наибольшую активность сельские поселения такие как: </w:t>
      </w:r>
      <w:r>
        <w:rPr>
          <w:rFonts w:ascii="Times New Roman" w:eastAsia="Times New Roman" w:hAnsi="Times New Roman" w:cs="Times New Roman"/>
          <w:bCs/>
          <w:sz w:val="24"/>
          <w:szCs w:val="24"/>
          <w:lang w:eastAsia="ru-RU"/>
        </w:rPr>
        <w:t>«Нившера», «Подтыбок», «Позтыкерес», «Приозерный», «Сторожевск», «Усть-Лэкчим»</w:t>
      </w:r>
      <w:r>
        <w:rPr>
          <w:rFonts w:ascii="Times New Roman" w:eastAsia="Times New Roman" w:hAnsi="Times New Roman" w:cs="Times New Roman"/>
          <w:sz w:val="24"/>
          <w:szCs w:val="24"/>
          <w:lang w:eastAsia="ru-RU"/>
        </w:rPr>
        <w:t>. Их опыт – пример эффективного взаимодействия власти и населения.</w:t>
      </w:r>
    </w:p>
    <w:p>
      <w:pPr>
        <w:spacing w:after="0" w:line="240" w:lineRule="auto"/>
        <w:ind w:firstLine="567"/>
        <w:jc w:val="both"/>
        <w:rPr>
          <w:rFonts w:ascii="Times New Roman" w:eastAsia="Times New Roman" w:hAnsi="Times New Roman" w:cs="Times New Roman"/>
          <w:sz w:val="24"/>
          <w:szCs w:val="24"/>
          <w:lang w:eastAsia="ru-RU"/>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условиях ограниченности финансовых ресурсов бюджетная политика района в 2025 году была направлена на безусловное исполнение полномочий по решению вопросов местного значения. При этом </w:t>
      </w:r>
      <w:r>
        <w:rPr>
          <w:rFonts w:ascii="Times New Roman" w:eastAsia="Times New Roman" w:hAnsi="Times New Roman" w:cs="Times New Roman"/>
          <w:bCs/>
          <w:sz w:val="24"/>
          <w:szCs w:val="24"/>
          <w:lang w:eastAsia="ru-RU"/>
        </w:rPr>
        <w:t xml:space="preserve">приоритетным направлением оставалась </w:t>
      </w:r>
      <w:r>
        <w:rPr>
          <w:rFonts w:ascii="Times New Roman" w:eastAsia="Times New Roman" w:hAnsi="Times New Roman" w:cs="Times New Roman"/>
          <w:b/>
          <w:bCs/>
          <w:sz w:val="24"/>
          <w:szCs w:val="24"/>
          <w:lang w:eastAsia="ru-RU"/>
        </w:rPr>
        <w:t>поддержка сельских поселений</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Общий объём дотаций сельским поселениям увеличен на </w:t>
      </w:r>
      <w:r>
        <w:rPr>
          <w:rFonts w:ascii="Times New Roman" w:eastAsia="Times New Roman" w:hAnsi="Times New Roman" w:cs="Times New Roman"/>
          <w:b/>
          <w:bCs/>
          <w:sz w:val="24"/>
          <w:szCs w:val="24"/>
          <w:lang w:eastAsia="ru-RU"/>
        </w:rPr>
        <w:t>10,4%</w:t>
      </w:r>
      <w:r>
        <w:rPr>
          <w:rFonts w:ascii="Times New Roman" w:eastAsia="Times New Roman" w:hAnsi="Times New Roman" w:cs="Times New Roman"/>
          <w:sz w:val="24"/>
          <w:szCs w:val="24"/>
          <w:lang w:eastAsia="ru-RU"/>
        </w:rPr>
        <w:t> и достиг </w:t>
      </w:r>
      <w:r>
        <w:rPr>
          <w:rFonts w:ascii="Times New Roman" w:eastAsia="Times New Roman" w:hAnsi="Times New Roman" w:cs="Times New Roman"/>
          <w:b/>
          <w:bCs/>
          <w:sz w:val="24"/>
          <w:szCs w:val="24"/>
          <w:lang w:eastAsia="ru-RU"/>
        </w:rPr>
        <w:t>99,5 млн рублей</w:t>
      </w:r>
      <w:r>
        <w:rPr>
          <w:rFonts w:ascii="Times New Roman" w:eastAsia="Times New Roman" w:hAnsi="Times New Roman" w:cs="Times New Roman"/>
          <w:sz w:val="24"/>
          <w:szCs w:val="24"/>
          <w:lang w:eastAsia="ru-RU"/>
        </w:rPr>
        <w:t>. Рост к уровню 2024 года составил </w:t>
      </w:r>
      <w:r>
        <w:rPr>
          <w:rFonts w:ascii="Times New Roman" w:eastAsia="Times New Roman" w:hAnsi="Times New Roman" w:cs="Times New Roman"/>
          <w:b/>
          <w:bCs/>
          <w:sz w:val="24"/>
          <w:szCs w:val="24"/>
          <w:lang w:eastAsia="ru-RU"/>
        </w:rPr>
        <w:t>9,4 млн рублей</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определении объёма дотаций для каждого муниципального образования соблюдался важный принцип – </w:t>
      </w:r>
      <w:r>
        <w:rPr>
          <w:rFonts w:ascii="Times New Roman" w:eastAsia="Times New Roman" w:hAnsi="Times New Roman" w:cs="Times New Roman"/>
          <w:bCs/>
          <w:sz w:val="24"/>
          <w:szCs w:val="24"/>
          <w:lang w:eastAsia="ru-RU"/>
        </w:rPr>
        <w:t>недопущение снижения объёма межбюджетных трансфертов общего характера</w:t>
      </w:r>
      <w:r>
        <w:rPr>
          <w:rFonts w:ascii="Times New Roman" w:eastAsia="Times New Roman" w:hAnsi="Times New Roman" w:cs="Times New Roman"/>
          <w:sz w:val="24"/>
          <w:szCs w:val="24"/>
          <w:lang w:eastAsia="ru-RU"/>
        </w:rPr>
        <w:t> по сравнению с предыдущим годом.</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Исполнение судебных решений в отношении муниципального района находится на особом контроле. Принимаются все возможные меры для их исполнения, о чем свидетельствует ежегодная тенденция увеличения объема средств, выделяемых из бюджета муниципального района «Корткеросский».</w:t>
      </w:r>
      <w:r>
        <w:rPr>
          <w:rFonts w:ascii="Times New Roman" w:eastAsia="Times New Roman" w:hAnsi="Times New Roman" w:cs="Times New Roman"/>
          <w:sz w:val="24"/>
          <w:szCs w:val="24"/>
          <w:lang w:eastAsia="ru-RU"/>
        </w:rPr>
        <w:t xml:space="preserve"> За три года (2023–2025) на исполнение судебных решений направлено </w:t>
      </w:r>
      <w:r>
        <w:rPr>
          <w:rFonts w:ascii="Times New Roman" w:eastAsia="Times New Roman" w:hAnsi="Times New Roman" w:cs="Times New Roman"/>
          <w:b/>
          <w:bCs/>
          <w:sz w:val="24"/>
          <w:szCs w:val="24"/>
          <w:lang w:eastAsia="ru-RU"/>
        </w:rPr>
        <w:t>30,1 млн рублей</w:t>
      </w:r>
      <w:r>
        <w:rPr>
          <w:rFonts w:ascii="Times New Roman" w:eastAsia="Times New Roman" w:hAnsi="Times New Roman" w:cs="Times New Roman"/>
          <w:sz w:val="24"/>
          <w:szCs w:val="24"/>
          <w:lang w:eastAsia="ru-RU"/>
        </w:rPr>
        <w:t>. При этом если в 2023 и 2024 годах объем финансирования составлял по </w:t>
      </w:r>
      <w:r>
        <w:rPr>
          <w:rFonts w:ascii="Times New Roman" w:eastAsia="Times New Roman" w:hAnsi="Times New Roman" w:cs="Times New Roman"/>
          <w:bCs/>
          <w:sz w:val="24"/>
          <w:szCs w:val="24"/>
          <w:lang w:eastAsia="ru-RU"/>
        </w:rPr>
        <w:t>6,5 млн рублей</w:t>
      </w:r>
      <w:r>
        <w:rPr>
          <w:rFonts w:ascii="Times New Roman" w:eastAsia="Times New Roman" w:hAnsi="Times New Roman" w:cs="Times New Roman"/>
          <w:sz w:val="24"/>
          <w:szCs w:val="24"/>
          <w:lang w:eastAsia="ru-RU"/>
        </w:rPr>
        <w:t> ежегодно, то в </w:t>
      </w:r>
      <w:r>
        <w:rPr>
          <w:rFonts w:ascii="Times New Roman" w:eastAsia="Times New Roman" w:hAnsi="Times New Roman" w:cs="Times New Roman"/>
          <w:bCs/>
          <w:sz w:val="24"/>
          <w:szCs w:val="24"/>
          <w:lang w:eastAsia="ru-RU"/>
        </w:rPr>
        <w:t>2025 году он вырос до 17,1 млн рублей</w:t>
      </w:r>
      <w:r>
        <w:rPr>
          <w:rFonts w:ascii="Times New Roman" w:eastAsia="Times New Roman" w:hAnsi="Times New Roman" w:cs="Times New Roman"/>
          <w:sz w:val="24"/>
          <w:szCs w:val="24"/>
          <w:lang w:eastAsia="ru-RU"/>
        </w:rPr>
        <w:t>. Это позволило исполнить за трехлетний период </w:t>
      </w:r>
      <w:r>
        <w:rPr>
          <w:rFonts w:ascii="Times New Roman" w:eastAsia="Times New Roman" w:hAnsi="Times New Roman" w:cs="Times New Roman"/>
          <w:b/>
          <w:bCs/>
          <w:sz w:val="24"/>
          <w:szCs w:val="24"/>
          <w:lang w:eastAsia="ru-RU"/>
        </w:rPr>
        <w:t>32 судебных решения</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по ключевым направлениям: ремонт дорог, ликвидация свалок, лесоустройство и предоставление жилья. Принятые меры позволили обеспечить </w:t>
      </w:r>
      <w:r>
        <w:rPr>
          <w:rFonts w:ascii="Times New Roman" w:eastAsia="Times New Roman" w:hAnsi="Times New Roman" w:cs="Times New Roman"/>
          <w:bCs/>
          <w:sz w:val="24"/>
          <w:szCs w:val="24"/>
          <w:lang w:eastAsia="ru-RU"/>
        </w:rPr>
        <w:t>полное погашение задолженности по административным штрафам по состоянию на 1 января 2026 года</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 района в 2025 году исполнен </w:t>
      </w:r>
      <w:r>
        <w:rPr>
          <w:rFonts w:ascii="Times New Roman" w:eastAsia="Times New Roman" w:hAnsi="Times New Roman" w:cs="Times New Roman"/>
          <w:b/>
          <w:bCs/>
          <w:sz w:val="24"/>
          <w:szCs w:val="24"/>
          <w:lang w:eastAsia="ru-RU"/>
        </w:rPr>
        <w:t>сбалансированно</w:t>
      </w:r>
      <w:r>
        <w:rPr>
          <w:rFonts w:ascii="Times New Roman" w:eastAsia="Times New Roman" w:hAnsi="Times New Roman" w:cs="Times New Roman"/>
          <w:sz w:val="24"/>
          <w:szCs w:val="24"/>
          <w:lang w:eastAsia="ru-RU"/>
        </w:rPr>
        <w:t>. Все заявленные к оплате расходы профинансированы в </w:t>
      </w:r>
      <w:r>
        <w:rPr>
          <w:rFonts w:ascii="Times New Roman" w:eastAsia="Times New Roman" w:hAnsi="Times New Roman" w:cs="Times New Roman"/>
          <w:b/>
          <w:bCs/>
          <w:sz w:val="24"/>
          <w:szCs w:val="24"/>
          <w:lang w:eastAsia="ru-RU"/>
        </w:rPr>
        <w:t>полном объеме</w:t>
      </w:r>
      <w:r>
        <w:rPr>
          <w:rFonts w:ascii="Times New Roman" w:eastAsia="Times New Roman" w:hAnsi="Times New Roman" w:cs="Times New Roman"/>
          <w:sz w:val="24"/>
          <w:szCs w:val="24"/>
          <w:lang w:eastAsia="ru-RU"/>
        </w:rPr>
        <w:t xml:space="preserve">, что свидетельствует о высоком уровне управления муниципальными финансами.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 отметить динамику по дефициту. Первоначально он планировался на уровне </w:t>
      </w:r>
      <w:r>
        <w:rPr>
          <w:rFonts w:ascii="Times New Roman" w:eastAsia="Times New Roman" w:hAnsi="Times New Roman" w:cs="Times New Roman"/>
          <w:b/>
          <w:bCs/>
          <w:sz w:val="24"/>
          <w:szCs w:val="24"/>
          <w:lang w:eastAsia="ru-RU"/>
        </w:rPr>
        <w:t>23,5 млн рублей</w:t>
      </w:r>
      <w:r>
        <w:rPr>
          <w:rFonts w:ascii="Times New Roman" w:eastAsia="Times New Roman" w:hAnsi="Times New Roman" w:cs="Times New Roman"/>
          <w:sz w:val="24"/>
          <w:szCs w:val="24"/>
          <w:lang w:eastAsia="ru-RU"/>
        </w:rPr>
        <w:t>. Однако по факту, благодаря эффективному управлению средствами, дефицит составил всего </w:t>
      </w:r>
      <w:r>
        <w:rPr>
          <w:rFonts w:ascii="Times New Roman" w:eastAsia="Times New Roman" w:hAnsi="Times New Roman" w:cs="Times New Roman"/>
          <w:b/>
          <w:bCs/>
          <w:sz w:val="24"/>
          <w:szCs w:val="24"/>
          <w:lang w:eastAsia="ru-RU"/>
        </w:rPr>
        <w:t>6,9 млн рублей</w:t>
      </w:r>
      <w:r>
        <w:rPr>
          <w:rFonts w:ascii="Times New Roman" w:eastAsia="Times New Roman" w:hAnsi="Times New Roman" w:cs="Times New Roman"/>
          <w:sz w:val="24"/>
          <w:szCs w:val="24"/>
          <w:lang w:eastAsia="ru-RU"/>
        </w:rPr>
        <w:t> – то есть </w:t>
      </w:r>
      <w:r>
        <w:rPr>
          <w:rFonts w:ascii="Times New Roman" w:eastAsia="Times New Roman" w:hAnsi="Times New Roman" w:cs="Times New Roman"/>
          <w:b/>
          <w:bCs/>
          <w:sz w:val="24"/>
          <w:szCs w:val="24"/>
          <w:lang w:eastAsia="ru-RU"/>
        </w:rPr>
        <w:t>в 3,4 раза ниже запланированного</w:t>
      </w:r>
      <w:r>
        <w:rPr>
          <w:rFonts w:ascii="Times New Roman" w:eastAsia="Times New Roman" w:hAnsi="Times New Roman" w:cs="Times New Roman"/>
          <w:sz w:val="24"/>
          <w:szCs w:val="24"/>
          <w:lang w:eastAsia="ru-RU"/>
        </w:rPr>
        <w:t>.</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Возникший дефицит – это не проблема, а </w:t>
      </w:r>
      <w:r>
        <w:rPr>
          <w:rFonts w:ascii="Times New Roman" w:eastAsia="Times New Roman" w:hAnsi="Times New Roman" w:cs="Times New Roman"/>
          <w:bCs/>
          <w:sz w:val="24"/>
          <w:szCs w:val="24"/>
          <w:lang w:eastAsia="ru-RU"/>
        </w:rPr>
        <w:t>технический момент</w:t>
      </w:r>
      <w:r>
        <w:rPr>
          <w:rFonts w:ascii="Times New Roman" w:eastAsia="Times New Roman" w:hAnsi="Times New Roman" w:cs="Times New Roman"/>
          <w:sz w:val="24"/>
          <w:szCs w:val="24"/>
          <w:lang w:eastAsia="ru-RU"/>
        </w:rPr>
        <w:t>, связанный с кассовыми разрывами: доходы поступают неравномерно, а расходы нужно финансировать регулярно.</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состоянию на </w:t>
      </w:r>
      <w:r>
        <w:rPr>
          <w:rFonts w:ascii="Times New Roman" w:eastAsia="Times New Roman" w:hAnsi="Times New Roman" w:cs="Times New Roman"/>
          <w:b/>
          <w:bCs/>
          <w:sz w:val="24"/>
          <w:szCs w:val="24"/>
          <w:lang w:eastAsia="ru-RU"/>
        </w:rPr>
        <w:t>1 января 2026 года</w:t>
      </w:r>
      <w:r>
        <w:rPr>
          <w:rFonts w:ascii="Times New Roman" w:eastAsia="Times New Roman" w:hAnsi="Times New Roman" w:cs="Times New Roman"/>
          <w:sz w:val="24"/>
          <w:szCs w:val="24"/>
          <w:lang w:eastAsia="ru-RU"/>
        </w:rPr>
        <w:t> в долговой книге муниципального района числится остаток непогашенного долга по бюджетному кредиту, привлеченному из республиканского бюджета Республики Коми на частичное покрытие дефицита местного бюджета, в сумме </w:t>
      </w:r>
      <w:r>
        <w:rPr>
          <w:rFonts w:ascii="Times New Roman" w:eastAsia="Times New Roman" w:hAnsi="Times New Roman" w:cs="Times New Roman"/>
          <w:b/>
          <w:bCs/>
          <w:sz w:val="24"/>
          <w:szCs w:val="24"/>
          <w:lang w:eastAsia="ru-RU"/>
        </w:rPr>
        <w:t>5,6 млн рублей</w:t>
      </w:r>
      <w:r>
        <w:rPr>
          <w:rFonts w:ascii="Times New Roman" w:eastAsia="Times New Roman" w:hAnsi="Times New Roman" w:cs="Times New Roman"/>
          <w:sz w:val="24"/>
          <w:szCs w:val="24"/>
          <w:lang w:eastAsia="ru-RU"/>
        </w:rPr>
        <w:t>. Срок на его погашение составляет </w:t>
      </w:r>
      <w:r>
        <w:rPr>
          <w:rFonts w:ascii="Times New Roman" w:eastAsia="Times New Roman" w:hAnsi="Times New Roman" w:cs="Times New Roman"/>
          <w:bCs/>
          <w:sz w:val="24"/>
          <w:szCs w:val="24"/>
          <w:lang w:eastAsia="ru-RU"/>
        </w:rPr>
        <w:t>2 года</w:t>
      </w:r>
      <w:r>
        <w:rPr>
          <w:rFonts w:ascii="Times New Roman" w:eastAsia="Times New Roman" w:hAnsi="Times New Roman" w:cs="Times New Roman"/>
          <w:sz w:val="24"/>
          <w:szCs w:val="24"/>
          <w:lang w:eastAsia="ru-RU"/>
        </w:rPr>
        <w:t>.</w:t>
      </w:r>
    </w:p>
    <w:p>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эти позиции позволили спрогнозировать и принять своевременные управленческие решения по финансированию в полном объеме всех принятых районом расходных обязательств по решению вопросов местного значения.</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Бюджетная политика в 2026-2028 годах будет направлена на </w:t>
      </w:r>
      <w:r>
        <w:rPr>
          <w:rFonts w:ascii="Times New Roman" w:eastAsia="Times New Roman" w:hAnsi="Times New Roman" w:cs="Times New Roman"/>
          <w:b/>
          <w:bCs/>
          <w:sz w:val="24"/>
          <w:szCs w:val="24"/>
          <w:lang w:eastAsia="ru-RU"/>
        </w:rPr>
        <w:t>сохранение и укрепление устойчивости и сбалансированности бюджета</w:t>
      </w:r>
      <w:r>
        <w:rPr>
          <w:rFonts w:ascii="Times New Roman" w:eastAsia="Times New Roman" w:hAnsi="Times New Roman" w:cs="Times New Roman"/>
          <w:sz w:val="24"/>
          <w:szCs w:val="24"/>
          <w:lang w:eastAsia="ru-RU"/>
        </w:rPr>
        <w:t> района. Достижение этой цели предполагается за счет реализации следующих приоритетных задач:</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части доходов:</w:t>
      </w:r>
    </w:p>
    <w:p>
      <w:pPr>
        <w:numPr>
          <w:ilvl w:val="0"/>
          <w:numId w:val="15"/>
        </w:numPr>
        <w:tabs>
          <w:tab w:val="clear" w:pos="720"/>
          <w:tab w:val="num"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Сохранение и развитие налоговой базы в складывающихся экономических условиях.</w:t>
      </w:r>
    </w:p>
    <w:p>
      <w:pPr>
        <w:numPr>
          <w:ilvl w:val="0"/>
          <w:numId w:val="15"/>
        </w:numPr>
        <w:tabs>
          <w:tab w:val="clear" w:pos="720"/>
          <w:tab w:val="num"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Обеспечение роста неналоговых доходов за счет повышения эффективности управления муниципальной собственностью и земельными ресурсами.</w:t>
      </w:r>
    </w:p>
    <w:p>
      <w:pPr>
        <w:numPr>
          <w:ilvl w:val="0"/>
          <w:numId w:val="15"/>
        </w:numPr>
        <w:tabs>
          <w:tab w:val="clear" w:pos="720"/>
          <w:tab w:val="num"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Усиление </w:t>
      </w:r>
      <w:proofErr w:type="spellStart"/>
      <w:r>
        <w:rPr>
          <w:rFonts w:ascii="Times New Roman" w:eastAsia="Times New Roman" w:hAnsi="Times New Roman" w:cs="Times New Roman"/>
          <w:sz w:val="24"/>
          <w:szCs w:val="24"/>
          <w:lang w:eastAsia="ru-RU"/>
        </w:rPr>
        <w:t>претензионно</w:t>
      </w:r>
      <w:proofErr w:type="spellEnd"/>
      <w:r>
        <w:rPr>
          <w:rFonts w:ascii="Times New Roman" w:eastAsia="Times New Roman" w:hAnsi="Times New Roman" w:cs="Times New Roman"/>
          <w:sz w:val="24"/>
          <w:szCs w:val="24"/>
          <w:lang w:eastAsia="ru-RU"/>
        </w:rPr>
        <w:t>-исковой работы, направленной на сокращение и взыскание задолженности по арендным платежам.</w:t>
      </w:r>
    </w:p>
    <w:p>
      <w:pPr>
        <w:tabs>
          <w:tab w:val="num" w:pos="0"/>
        </w:tabs>
        <w:spacing w:after="0" w:line="240" w:lineRule="auto"/>
        <w:ind w:firstLine="3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 части расходов:</w:t>
      </w:r>
    </w:p>
    <w:p>
      <w:pPr>
        <w:pStyle w:val="a6"/>
        <w:numPr>
          <w:ilvl w:val="0"/>
          <w:numId w:val="15"/>
        </w:numPr>
        <w:tabs>
          <w:tab w:val="clear" w:pos="720"/>
          <w:tab w:val="num"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Приоритизация бюджетных расходов, обеспечивающих реализацию национальных проектов.</w:t>
      </w:r>
    </w:p>
    <w:p>
      <w:pPr>
        <w:pStyle w:val="a6"/>
        <w:numPr>
          <w:ilvl w:val="0"/>
          <w:numId w:val="15"/>
        </w:numPr>
        <w:tabs>
          <w:tab w:val="clear" w:pos="720"/>
          <w:tab w:val="num"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Недопущение принятия новых расходных обязательств, не обеспеченных стабильными источниками доходов.</w:t>
      </w:r>
      <w:r>
        <w:rPr>
          <w:rFonts w:ascii="Times New Roman" w:eastAsia="Times New Roman" w:hAnsi="Times New Roman" w:cs="Times New Roman"/>
          <w:sz w:val="24"/>
          <w:szCs w:val="24"/>
          <w:lang w:eastAsia="ru-RU"/>
        </w:rPr>
        <w:br/>
        <w:t>6. Обеспечение своевременного и полного освоения средств, поступающих из федерального и республиканского бюджетов.</w:t>
      </w:r>
    </w:p>
    <w:p>
      <w:pPr>
        <w:spacing w:after="0" w:line="240" w:lineRule="auto"/>
        <w:ind w:firstLine="567"/>
        <w:contextualSpacing/>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Только комплексный подход по этим направлениям позволит нам сохранить финансовую стабильность района.</w:t>
      </w:r>
    </w:p>
    <w:p>
      <w:pPr>
        <w:spacing w:after="0" w:line="240" w:lineRule="auto"/>
        <w:contextualSpacing/>
        <w:jc w:val="both"/>
        <w:rPr>
          <w:rFonts w:ascii="Times New Roman" w:eastAsia="Times New Roman" w:hAnsi="Times New Roman" w:cs="Times New Roman"/>
          <w:b/>
          <w:sz w:val="24"/>
          <w:szCs w:val="24"/>
          <w:highlight w:val="yellow"/>
          <w:lang w:eastAsia="ru-RU"/>
        </w:rPr>
      </w:pPr>
    </w:p>
    <w:p>
      <w:pPr>
        <w:spacing w:after="0" w:line="240" w:lineRule="auto"/>
        <w:contextualSpacing/>
        <w:jc w:val="center"/>
        <w:rPr>
          <w:rFonts w:ascii="Times New Roman" w:eastAsia="Calibri" w:hAnsi="Times New Roman" w:cs="Times New Roman"/>
          <w:iCs/>
          <w:color w:val="000000"/>
          <w:sz w:val="24"/>
          <w:szCs w:val="24"/>
          <w:lang w:eastAsia="ru-RU"/>
        </w:rPr>
      </w:pPr>
      <w:r>
        <w:rPr>
          <w:rFonts w:ascii="Times New Roman" w:eastAsia="Times New Roman" w:hAnsi="Times New Roman" w:cs="Times New Roman"/>
          <w:b/>
          <w:sz w:val="24"/>
          <w:szCs w:val="24"/>
          <w:lang w:eastAsia="ru-RU"/>
        </w:rPr>
        <w:t>МУНИЦИПАЛЬНЫЕ ЗАКУПКИ</w:t>
      </w:r>
    </w:p>
    <w:p>
      <w:pPr>
        <w:spacing w:after="0" w:line="240" w:lineRule="auto"/>
        <w:contextualSpacing/>
        <w:jc w:val="both"/>
        <w:rPr>
          <w:rFonts w:ascii="Times New Roman" w:eastAsia="Calibri" w:hAnsi="Times New Roman" w:cs="Times New Roman"/>
          <w:iCs/>
          <w:color w:val="000000"/>
          <w:sz w:val="24"/>
          <w:szCs w:val="24"/>
          <w:highlight w:val="yellow"/>
          <w:lang w:eastAsia="ru-RU"/>
        </w:rPr>
      </w:pPr>
    </w:p>
    <w:p>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Итоги закупочной деятельности муниципального района «Корткеросский» в 2025 году:</w:t>
      </w:r>
    </w:p>
    <w:p>
      <w:pPr>
        <w:pStyle w:val="a6"/>
        <w:numPr>
          <w:ilvl w:val="1"/>
          <w:numId w:val="12"/>
        </w:numPr>
        <w:spacing w:after="0" w:line="240" w:lineRule="auto"/>
        <w:ind w:left="1134" w:hanging="426"/>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Организация закупочного процесса</w:t>
      </w:r>
    </w:p>
    <w:p>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 2025 году в адрес Уполномоченного органа поступило </w:t>
      </w:r>
      <w:r>
        <w:rPr>
          <w:rFonts w:ascii="Times New Roman" w:eastAsia="Times New Roman" w:hAnsi="Times New Roman" w:cs="Times New Roman"/>
          <w:b/>
          <w:bCs/>
          <w:iCs/>
          <w:sz w:val="24"/>
          <w:szCs w:val="24"/>
          <w:lang w:eastAsia="ru-RU"/>
        </w:rPr>
        <w:t>106 заявок</w:t>
      </w:r>
      <w:r>
        <w:rPr>
          <w:rFonts w:ascii="Times New Roman" w:eastAsia="Times New Roman" w:hAnsi="Times New Roman" w:cs="Times New Roman"/>
          <w:iCs/>
          <w:sz w:val="24"/>
          <w:szCs w:val="24"/>
          <w:lang w:eastAsia="ru-RU"/>
        </w:rPr>
        <w:t> от муниципальных заказчиков района на проведение торгов. На их основе сформированы извещения об осуществлении закупок и соответствующие электронные документы. Публикация осуществлялась только после проверки на соответствие требованиям действующего законодательства.</w:t>
      </w:r>
    </w:p>
    <w:p>
      <w:pPr>
        <w:pStyle w:val="a6"/>
        <w:numPr>
          <w:ilvl w:val="1"/>
          <w:numId w:val="12"/>
        </w:numPr>
        <w:spacing w:after="0" w:line="240" w:lineRule="auto"/>
        <w:ind w:left="1134"/>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Результаты конкурентных закупок</w:t>
      </w:r>
    </w:p>
    <w:p>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Управлением финансов проведено </w:t>
      </w:r>
      <w:r>
        <w:rPr>
          <w:rFonts w:ascii="Times New Roman" w:eastAsia="Times New Roman" w:hAnsi="Times New Roman" w:cs="Times New Roman"/>
          <w:b/>
          <w:bCs/>
          <w:iCs/>
          <w:sz w:val="24"/>
          <w:szCs w:val="24"/>
          <w:lang w:eastAsia="ru-RU"/>
        </w:rPr>
        <w:t>106 процедур</w:t>
      </w:r>
      <w:r>
        <w:rPr>
          <w:rFonts w:ascii="Times New Roman" w:eastAsia="Times New Roman" w:hAnsi="Times New Roman" w:cs="Times New Roman"/>
          <w:iCs/>
          <w:sz w:val="24"/>
          <w:szCs w:val="24"/>
          <w:lang w:eastAsia="ru-RU"/>
        </w:rPr>
        <w:t> определения поставщиков, по итогам которых заключено </w:t>
      </w:r>
      <w:r>
        <w:rPr>
          <w:rFonts w:ascii="Times New Roman" w:eastAsia="Times New Roman" w:hAnsi="Times New Roman" w:cs="Times New Roman"/>
          <w:b/>
          <w:bCs/>
          <w:iCs/>
          <w:sz w:val="24"/>
          <w:szCs w:val="24"/>
          <w:lang w:eastAsia="ru-RU"/>
        </w:rPr>
        <w:t>78 муниципальных контракта</w:t>
      </w:r>
      <w:r>
        <w:rPr>
          <w:rFonts w:ascii="Times New Roman" w:eastAsia="Times New Roman" w:hAnsi="Times New Roman" w:cs="Times New Roman"/>
          <w:iCs/>
          <w:sz w:val="24"/>
          <w:szCs w:val="24"/>
          <w:lang w:eastAsia="ru-RU"/>
        </w:rPr>
        <w:t> на общую сумму </w:t>
      </w:r>
      <w:r>
        <w:rPr>
          <w:rFonts w:ascii="Times New Roman" w:eastAsia="Times New Roman" w:hAnsi="Times New Roman" w:cs="Times New Roman"/>
          <w:b/>
          <w:bCs/>
          <w:iCs/>
          <w:sz w:val="24"/>
          <w:szCs w:val="24"/>
          <w:lang w:eastAsia="ru-RU"/>
        </w:rPr>
        <w:t>более 276,4 млн рублей</w:t>
      </w:r>
      <w:r>
        <w:rPr>
          <w:rFonts w:ascii="Times New Roman" w:eastAsia="Times New Roman" w:hAnsi="Times New Roman" w:cs="Times New Roman"/>
          <w:iCs/>
          <w:sz w:val="24"/>
          <w:szCs w:val="24"/>
          <w:lang w:eastAsia="ru-RU"/>
        </w:rPr>
        <w:t>. Экономия бюджетных средств по завершенным конкурентным процедурам составила </w:t>
      </w:r>
      <w:r>
        <w:rPr>
          <w:rFonts w:ascii="Times New Roman" w:eastAsia="Times New Roman" w:hAnsi="Times New Roman" w:cs="Times New Roman"/>
          <w:b/>
          <w:bCs/>
          <w:iCs/>
          <w:sz w:val="24"/>
          <w:szCs w:val="24"/>
          <w:lang w:eastAsia="ru-RU"/>
        </w:rPr>
        <w:t>10,6 млн рублей.</w:t>
      </w:r>
    </w:p>
    <w:p>
      <w:pPr>
        <w:pStyle w:val="a6"/>
        <w:numPr>
          <w:ilvl w:val="1"/>
          <w:numId w:val="12"/>
        </w:numPr>
        <w:spacing w:after="0" w:line="240" w:lineRule="auto"/>
        <w:ind w:left="1134" w:hanging="338"/>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Закупки малого объема</w:t>
      </w:r>
    </w:p>
    <w:p>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Муниципальными заказчиками (в первую очередь образовательными учреждениями) осуществлялись закупки малого объема: канцелярских товаров, продуктов питания, лакокрасочных изделий. Экономия по данному направлению составила </w:t>
      </w:r>
      <w:r>
        <w:rPr>
          <w:rFonts w:ascii="Times New Roman" w:eastAsia="Times New Roman" w:hAnsi="Times New Roman" w:cs="Times New Roman"/>
          <w:b/>
          <w:bCs/>
          <w:iCs/>
          <w:sz w:val="24"/>
          <w:szCs w:val="24"/>
          <w:lang w:eastAsia="ru-RU"/>
        </w:rPr>
        <w:t>25,6 тыс. рублей</w:t>
      </w:r>
      <w:r>
        <w:rPr>
          <w:rFonts w:ascii="Times New Roman" w:eastAsia="Times New Roman" w:hAnsi="Times New Roman" w:cs="Times New Roman"/>
          <w:iCs/>
          <w:sz w:val="24"/>
          <w:szCs w:val="24"/>
          <w:lang w:eastAsia="ru-RU"/>
        </w:rPr>
        <w:t>.</w:t>
      </w:r>
    </w:p>
    <w:p>
      <w:pPr>
        <w:pStyle w:val="a6"/>
        <w:numPr>
          <w:ilvl w:val="1"/>
          <w:numId w:val="12"/>
        </w:numPr>
        <w:tabs>
          <w:tab w:val="left" w:pos="1276"/>
        </w:tabs>
        <w:spacing w:after="0" w:line="240" w:lineRule="auto"/>
        <w:ind w:left="1134" w:hanging="338"/>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Контроль и отсутствие нарушений</w:t>
      </w:r>
    </w:p>
    <w:p>
      <w:pPr>
        <w:numPr>
          <w:ilvl w:val="0"/>
          <w:numId w:val="17"/>
        </w:numPr>
        <w:tabs>
          <w:tab w:val="clear" w:pos="720"/>
          <w:tab w:val="num" w:pos="0"/>
        </w:tabs>
        <w:spacing w:after="0" w:line="240" w:lineRule="auto"/>
        <w:ind w:left="0" w:firstLine="36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Жалоб на решения комиссии по осуществлению закупок Уполномоченного органа </w:t>
      </w:r>
      <w:r>
        <w:rPr>
          <w:rFonts w:ascii="Times New Roman" w:eastAsia="Times New Roman" w:hAnsi="Times New Roman" w:cs="Times New Roman"/>
          <w:b/>
          <w:bCs/>
          <w:iCs/>
          <w:sz w:val="24"/>
          <w:szCs w:val="24"/>
          <w:lang w:eastAsia="ru-RU"/>
        </w:rPr>
        <w:t>не поступало</w:t>
      </w:r>
      <w:r>
        <w:rPr>
          <w:rFonts w:ascii="Times New Roman" w:eastAsia="Times New Roman" w:hAnsi="Times New Roman" w:cs="Times New Roman"/>
          <w:iCs/>
          <w:sz w:val="24"/>
          <w:szCs w:val="24"/>
          <w:lang w:eastAsia="ru-RU"/>
        </w:rPr>
        <w:t>.</w:t>
      </w:r>
    </w:p>
    <w:p>
      <w:pPr>
        <w:numPr>
          <w:ilvl w:val="0"/>
          <w:numId w:val="17"/>
        </w:numPr>
        <w:tabs>
          <w:tab w:val="clear" w:pos="720"/>
          <w:tab w:val="num" w:pos="0"/>
        </w:tabs>
        <w:spacing w:after="0" w:line="240" w:lineRule="auto"/>
        <w:ind w:left="0" w:firstLine="36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Случаев возможного возникновения конфликта интересов между участниками закупок и заказчиками </w:t>
      </w:r>
      <w:r>
        <w:rPr>
          <w:rFonts w:ascii="Times New Roman" w:eastAsia="Times New Roman" w:hAnsi="Times New Roman" w:cs="Times New Roman"/>
          <w:b/>
          <w:bCs/>
          <w:iCs/>
          <w:sz w:val="24"/>
          <w:szCs w:val="24"/>
          <w:lang w:eastAsia="ru-RU"/>
        </w:rPr>
        <w:t>не выявлено</w:t>
      </w:r>
      <w:r>
        <w:rPr>
          <w:rFonts w:ascii="Times New Roman" w:eastAsia="Times New Roman" w:hAnsi="Times New Roman" w:cs="Times New Roman"/>
          <w:iCs/>
          <w:sz w:val="24"/>
          <w:szCs w:val="24"/>
          <w:lang w:eastAsia="ru-RU"/>
        </w:rPr>
        <w:t>.</w:t>
      </w:r>
    </w:p>
    <w:p>
      <w:pPr>
        <w:pStyle w:val="a6"/>
        <w:numPr>
          <w:ilvl w:val="1"/>
          <w:numId w:val="12"/>
        </w:numPr>
        <w:tabs>
          <w:tab w:val="num" w:pos="0"/>
        </w:tabs>
        <w:spacing w:after="0" w:line="240" w:lineRule="auto"/>
        <w:ind w:left="0" w:firstLine="36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Методическая поддержка</w:t>
      </w:r>
    </w:p>
    <w:p>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В адрес муниципальных заказчиков направлялись разъяснительные письма по вопросам применения законодательства о контрактной системе, изменениям в законодательстве и оптимизации закупочной деятельности. </w:t>
      </w:r>
    </w:p>
    <w:p>
      <w:pPr>
        <w:spacing w:after="0" w:line="240" w:lineRule="auto"/>
        <w:contextualSpacing/>
        <w:jc w:val="both"/>
        <w:rPr>
          <w:rFonts w:ascii="Times New Roman" w:eastAsia="Times New Roman" w:hAnsi="Times New Roman" w:cs="Times New Roman"/>
          <w:b/>
          <w:bCs/>
          <w:color w:val="000000"/>
          <w:sz w:val="24"/>
          <w:szCs w:val="24"/>
          <w:highlight w:val="yellow"/>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ДЕМОГРАФИЯ</w:t>
      </w:r>
    </w:p>
    <w:p>
      <w:pPr>
        <w:spacing w:after="0" w:line="240" w:lineRule="auto"/>
        <w:ind w:firstLine="709"/>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sz w:val="24"/>
        </w:rPr>
      </w:pPr>
      <w:r>
        <w:rPr>
          <w:rFonts w:ascii="Times New Roman" w:hAnsi="Times New Roman" w:cs="Times New Roman"/>
          <w:sz w:val="24"/>
          <w:szCs w:val="24"/>
        </w:rPr>
        <w:t>Численность сельского населения района на 1 января 2025 года составила 18 024 человека, что на 1,1% меньше показателя 2024 года</w:t>
      </w:r>
      <w:r>
        <w:rPr>
          <w:rFonts w:ascii="Times New Roman" w:hAnsi="Times New Roman" w:cs="Times New Roman"/>
          <w:sz w:val="24"/>
          <w:szCs w:val="24"/>
          <w:shd w:val="clear" w:color="auto" w:fill="FFFFFF"/>
        </w:rPr>
        <w:t xml:space="preserve">, но </w:t>
      </w:r>
      <w:r>
        <w:rPr>
          <w:rFonts w:ascii="Times New Roman" w:hAnsi="Times New Roman" w:cs="Times New Roman"/>
          <w:sz w:val="24"/>
        </w:rPr>
        <w:t>меньше убыли за период 2023 года (-306 человек или -1,6%).</w:t>
      </w:r>
    </w:p>
    <w:p>
      <w:pPr>
        <w:spacing w:after="0"/>
        <w:ind w:firstLine="567"/>
        <w:jc w:val="both"/>
        <w:rPr>
          <w:rFonts w:ascii="Times New Roman" w:hAnsi="Times New Roman" w:cs="Times New Roman"/>
          <w:sz w:val="24"/>
        </w:rPr>
      </w:pPr>
      <w:r>
        <w:rPr>
          <w:rFonts w:ascii="Times New Roman" w:hAnsi="Times New Roman" w:cs="Times New Roman"/>
          <w:sz w:val="24"/>
        </w:rPr>
        <w:t>Это общее снижение происходит на фоне роста населения районного центра — села Корткерос, где численность увеличилась с 4 767 человек на 01.01.2024 до 4 811 человек на 01.01.2025.</w:t>
      </w: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rPr>
        <w:lastRenderedPageBreak/>
        <w:t>С марта 2025 года, в соответствии с действующим законодательством, официальные статистические данные о демографической ситуации не публикуются, что делает невозможным проведение анализа актуальных показателей рождаемости, смертности и миграции</w:t>
      </w:r>
      <w:r>
        <w:rPr>
          <w:rFonts w:ascii="Times New Roman" w:hAnsi="Times New Roman" w:cs="Times New Roman"/>
          <w:sz w:val="24"/>
          <w:szCs w:val="24"/>
        </w:rPr>
        <w:t>.</w:t>
      </w:r>
    </w:p>
    <w:p>
      <w:pPr>
        <w:spacing w:after="0" w:line="240" w:lineRule="auto"/>
        <w:ind w:firstLine="567"/>
        <w:jc w:val="both"/>
        <w:rPr>
          <w:rFonts w:ascii="Times New Roman" w:eastAsia="Times New Roman" w:hAnsi="Times New Roman" w:cs="Times New Roman"/>
          <w:sz w:val="24"/>
          <w:szCs w:val="24"/>
          <w:highlight w:val="yellow"/>
          <w:lang w:eastAsia="ru-RU"/>
        </w:rPr>
      </w:pPr>
    </w:p>
    <w:p>
      <w:pPr>
        <w:spacing w:after="0" w:line="240" w:lineRule="auto"/>
        <w:jc w:val="center"/>
        <w:rPr>
          <w:rFonts w:ascii="Times New Roman" w:eastAsia="Times New Roman" w:hAnsi="Times New Roman" w:cs="Times New Roman"/>
          <w:b/>
          <w:noProof/>
          <w:sz w:val="24"/>
          <w:szCs w:val="24"/>
          <w:lang w:eastAsia="ru-RU"/>
        </w:rPr>
      </w:pPr>
      <w:r>
        <w:rPr>
          <w:rFonts w:ascii="Times New Roman" w:eastAsia="Times New Roman" w:hAnsi="Times New Roman" w:cs="Times New Roman"/>
          <w:b/>
          <w:noProof/>
          <w:sz w:val="24"/>
          <w:szCs w:val="24"/>
          <w:lang w:eastAsia="ru-RU"/>
        </w:rPr>
        <w:t>УРОВЕНЬ ЖИЗНИ НАСЕЛЕНИЯ</w:t>
      </w:r>
    </w:p>
    <w:p>
      <w:pPr>
        <w:spacing w:after="0" w:line="240" w:lineRule="auto"/>
        <w:ind w:firstLine="709"/>
        <w:jc w:val="center"/>
        <w:rPr>
          <w:rFonts w:ascii="Times New Roman" w:eastAsia="Times New Roman" w:hAnsi="Times New Roman" w:cs="Times New Roman"/>
          <w:b/>
          <w:noProof/>
          <w:sz w:val="24"/>
          <w:szCs w:val="24"/>
          <w:lang w:eastAsia="ru-RU"/>
        </w:rPr>
      </w:pPr>
    </w:p>
    <w:p>
      <w:pPr>
        <w:spacing w:after="0"/>
        <w:ind w:firstLine="567"/>
        <w:jc w:val="both"/>
        <w:rPr>
          <w:rFonts w:ascii="Times New Roman" w:hAnsi="Times New Roman" w:cs="Times New Roman"/>
          <w:sz w:val="24"/>
        </w:rPr>
      </w:pPr>
      <w:r>
        <w:rPr>
          <w:rFonts w:ascii="Times New Roman" w:hAnsi="Times New Roman" w:cs="Times New Roman"/>
          <w:sz w:val="24"/>
        </w:rPr>
        <w:t xml:space="preserve">Среднемесячная заработная плата работников организаций (без субъектов малого и среднего предпринимательства) в 2025 году выросла на 10% по сравнению с 2024 годом, и составила 65 837 руб. (2024 -59749 руб.). </w:t>
      </w:r>
    </w:p>
    <w:p>
      <w:pPr>
        <w:spacing w:line="240" w:lineRule="auto"/>
        <w:ind w:firstLine="720"/>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shd w:val="clear" w:color="auto" w:fill="FFFFFF"/>
        </w:rPr>
        <w:t>По состоянию на январь 2026 года задолженность по заработной плате на предприятиях (в учреждениях) муниципальной формы собственности не зафиксирована.</w:t>
      </w:r>
    </w:p>
    <w:p>
      <w:pPr>
        <w:spacing w:after="0" w:line="240" w:lineRule="auto"/>
        <w:ind w:firstLine="567"/>
        <w:jc w:val="both"/>
        <w:rPr>
          <w:rFonts w:ascii="Times New Roman" w:eastAsia="Times New Roman" w:hAnsi="Times New Roman" w:cs="Times New Roman"/>
          <w:sz w:val="24"/>
          <w:szCs w:val="24"/>
          <w:lang w:eastAsia="ru-RU"/>
        </w:rPr>
      </w:pPr>
    </w:p>
    <w:p>
      <w:pPr>
        <w:keepNext/>
        <w:tabs>
          <w:tab w:val="num" w:pos="360"/>
        </w:tabs>
        <w:spacing w:after="0" w:line="240" w:lineRule="auto"/>
        <w:contextualSpacing/>
        <w:jc w:val="center"/>
        <w:outlineLvl w:val="0"/>
        <w:rPr>
          <w:rFonts w:ascii="Times New Roman" w:eastAsia="Times New Roman" w:hAnsi="Times New Roman" w:cs="Times New Roman"/>
          <w:b/>
          <w:kern w:val="28"/>
          <w:sz w:val="24"/>
          <w:szCs w:val="24"/>
          <w:lang w:eastAsia="ru-RU"/>
        </w:rPr>
      </w:pPr>
      <w:r>
        <w:rPr>
          <w:rFonts w:ascii="Times New Roman" w:eastAsia="Times New Roman" w:hAnsi="Times New Roman" w:cs="Times New Roman"/>
          <w:b/>
          <w:noProof/>
          <w:kern w:val="28"/>
          <w:sz w:val="24"/>
          <w:szCs w:val="24"/>
          <w:lang w:eastAsia="ru-RU"/>
        </w:rPr>
        <w:t>ЗАНЯТОСТЬ И БЕЗРАБОТИЦА</w:t>
      </w:r>
    </w:p>
    <w:p>
      <w:pPr>
        <w:tabs>
          <w:tab w:val="left" w:pos="2268"/>
        </w:tabs>
        <w:spacing w:after="0" w:line="240" w:lineRule="auto"/>
        <w:ind w:firstLine="567"/>
        <w:contextualSpacing/>
        <w:jc w:val="both"/>
        <w:rPr>
          <w:rFonts w:ascii="Times New Roman" w:eastAsia="Times New Roman" w:hAnsi="Times New Roman" w:cs="Times New Roman"/>
          <w:sz w:val="24"/>
          <w:szCs w:val="24"/>
          <w:lang w:eastAsia="ru-RU"/>
        </w:rPr>
      </w:pP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hd w:val="clear" w:color="auto" w:fill="FFFFFF"/>
        </w:rPr>
        <w:t>На конец 2025 года численность официально зарегистрированных безработных граждан, состоящих на учете в органах службы занятости Корткеросского района, составила 76 человек,</w:t>
      </w:r>
      <w:r>
        <w:rPr>
          <w:rFonts w:ascii="Times New Roman" w:hAnsi="Times New Roman" w:cs="Times New Roman"/>
          <w:sz w:val="24"/>
          <w:szCs w:val="24"/>
        </w:rPr>
        <w:t xml:space="preserve"> или 86,4 % от показателя 2024 года.</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На 1 января 2026 года потребность работодателей в работниках, заявленная в службу занятости населения, составила 195 вакансий, из которых 80 приходятся на рабочие профессии. </w:t>
      </w:r>
      <w:r>
        <w:rPr>
          <w:rFonts w:ascii="Times New Roman" w:hAnsi="Times New Roman" w:cs="Times New Roman"/>
          <w:sz w:val="24"/>
          <w:szCs w:val="24"/>
          <w:shd w:val="clear" w:color="auto" w:fill="FFFFFF"/>
        </w:rPr>
        <w:t xml:space="preserve">Наибольшее число вакансий отмечено в здравоохранении и социальных услугах - 48 вакансий; в сельском, лесном хозяйствах, охоте, рыболовстве и рыбоводстве- 40 вакансий; и обработке древесины -30 вакансий. </w:t>
      </w:r>
    </w:p>
    <w:p>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sz w:val="24"/>
        </w:rPr>
        <w:t>Уровень безработицы по отношению к численности экономически активного населения на начало 2026 года составил 1,0%, что на 0,1 процентного пункта ниже показателя аналогичного периода прошлого года.</w:t>
      </w:r>
    </w:p>
    <w:p>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sz w:val="24"/>
        </w:rPr>
        <w:t>Коэффициент напряженности на рынке труда (численность незанятых граждан в расчете на одну заявленную вакансию) в 2025 году сохранился на уровне 2024 года и составил 0,4.</w:t>
      </w:r>
    </w:p>
    <w:p>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sz w:val="24"/>
        </w:rPr>
        <w:t>За 2025 год Корткеросским филиалом ГАУ РК «Центр занятости населения» проведено 9 ярмарок вакансий рабочих мест, в том числе 4- для участников специальной военной операции.</w:t>
      </w:r>
    </w:p>
    <w:p>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 итогам 2025 года: </w:t>
      </w:r>
    </w:p>
    <w:p>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трудоустроено 162 гражданина, обратившихся в центр занятости населения за содействием в поиске подходящей работы (за 2024 год – 244 человека). Снижение показателя связано с уменьшением численности граждан, состоящих на учёте в </w:t>
      </w:r>
      <w:r>
        <w:rPr>
          <w:rFonts w:ascii="Times New Roman" w:hAnsi="Times New Roman" w:cs="Times New Roman"/>
          <w:sz w:val="24"/>
          <w:shd w:val="clear" w:color="auto" w:fill="FFFFFF"/>
        </w:rPr>
        <w:t>органах службы занятости Корткеросского района.</w:t>
      </w: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прошли профессиональное обучение и получили дополнительное профессиональное образование в рамках национального проекта «Кадры» 4 гражданина (за 2024 год – 1 человек)</w:t>
      </w:r>
      <w:r>
        <w:rPr>
          <w:rFonts w:ascii="Times New Roman" w:hAnsi="Times New Roman" w:cs="Times New Roman"/>
          <w:sz w:val="24"/>
          <w:szCs w:val="24"/>
        </w:rPr>
        <w:t>.</w:t>
      </w:r>
    </w:p>
    <w:p>
      <w:pPr>
        <w:tabs>
          <w:tab w:val="left" w:pos="2268"/>
        </w:tabs>
        <w:spacing w:after="0" w:line="240" w:lineRule="auto"/>
        <w:ind w:firstLine="567"/>
        <w:contextualSpacing/>
        <w:jc w:val="both"/>
        <w:rPr>
          <w:rFonts w:ascii="Times New Roman" w:eastAsia="Times New Roman" w:hAnsi="Times New Roman" w:cs="Times New Roman"/>
          <w:sz w:val="24"/>
          <w:szCs w:val="24"/>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РАЗВИТИЕ МАЛОГО И СРЕДНЕГО ПРЕДПРИНИМАТЕЛЬСТВА</w:t>
      </w:r>
    </w:p>
    <w:p>
      <w:pPr>
        <w:spacing w:after="0" w:line="240" w:lineRule="auto"/>
        <w:ind w:firstLine="567"/>
        <w:contextualSpacing/>
        <w:jc w:val="center"/>
        <w:rPr>
          <w:rFonts w:ascii="Times New Roman" w:eastAsia="Times New Roman" w:hAnsi="Times New Roman" w:cs="Times New Roman"/>
          <w:b/>
          <w:sz w:val="24"/>
          <w:szCs w:val="24"/>
          <w:lang w:eastAsia="ru-RU"/>
        </w:rPr>
      </w:pP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данным Единого реестра субъектов малого и среднего предпринимательства (сайт ФНС России) количество субъектов МСП, зарегистрированных на территории МО МР «Корткеросский», по состоянию на 01.01.2026 составляет 433 единицы (103,8% к 2024 году), в том числе:</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- 64 – юридические лица (1 среднее предприятие, 9 малых предприятий, </w:t>
      </w:r>
      <w:proofErr w:type="gramStart"/>
      <w:r>
        <w:rPr>
          <w:rFonts w:ascii="Times New Roman" w:eastAsia="Times New Roman" w:hAnsi="Times New Roman" w:cs="Times New Roman"/>
          <w:sz w:val="24"/>
          <w:szCs w:val="24"/>
          <w:lang w:eastAsia="ru-RU"/>
        </w:rPr>
        <w:t xml:space="preserve">54  </w:t>
      </w:r>
      <w:proofErr w:type="spellStart"/>
      <w:r>
        <w:rPr>
          <w:rFonts w:ascii="Times New Roman" w:eastAsia="Times New Roman" w:hAnsi="Times New Roman" w:cs="Times New Roman"/>
          <w:sz w:val="24"/>
          <w:szCs w:val="24"/>
          <w:lang w:eastAsia="ru-RU"/>
        </w:rPr>
        <w:t>микропредприятия</w:t>
      </w:r>
      <w:proofErr w:type="spellEnd"/>
      <w:proofErr w:type="gramEnd"/>
      <w:r>
        <w:rPr>
          <w:rFonts w:ascii="Times New Roman" w:eastAsia="Times New Roman" w:hAnsi="Times New Roman" w:cs="Times New Roman"/>
          <w:sz w:val="24"/>
          <w:szCs w:val="24"/>
          <w:lang w:eastAsia="ru-RU"/>
        </w:rPr>
        <w:t>);</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- 369 – индивидуальные предприниматели (1 из них относится к категории средних предприятий, 2 к малым предприятиям, 363 к </w:t>
      </w:r>
      <w:proofErr w:type="spellStart"/>
      <w:r>
        <w:rPr>
          <w:rFonts w:ascii="Times New Roman" w:eastAsia="Times New Roman" w:hAnsi="Times New Roman" w:cs="Times New Roman"/>
          <w:sz w:val="24"/>
          <w:szCs w:val="24"/>
          <w:lang w:eastAsia="ru-RU"/>
        </w:rPr>
        <w:t>микропредприятиям</w:t>
      </w:r>
      <w:proofErr w:type="spellEnd"/>
      <w:r>
        <w:rPr>
          <w:rFonts w:ascii="Times New Roman" w:eastAsia="Times New Roman" w:hAnsi="Times New Roman" w:cs="Times New Roman"/>
          <w:sz w:val="24"/>
          <w:szCs w:val="24"/>
          <w:lang w:eastAsia="ru-RU"/>
        </w:rPr>
        <w:t>).</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Приоритетной задачей в области малого и среднего предпринимательства является разработка мероприятий по поддержке и развитию данного сектора экономики в районе. Ключевым инструментом реализации государственной политики в сфере развития предпринимательства в 2025 году являлась подпрограмма «Малое и среднее предпринимательство в муниципальном районе «Корткеросский» муниципальной программы «Развитие экономики», предусматривающая мероприятия, направленные на решение актуальных вопросов развития малого и среднего предпринимательства.</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 xml:space="preserve">Важным направлением подпрограммы является оказание финансовой поддержки субъектам малого и среднего предпринимательства. В 2025 году оказана финансовая поддержка двум субъектам малого и среднего предпринимательства (ИП </w:t>
      </w:r>
      <w:proofErr w:type="spellStart"/>
      <w:r>
        <w:rPr>
          <w:rFonts w:ascii="Times New Roman" w:eastAsia="Times New Roman" w:hAnsi="Times New Roman" w:cs="Times New Roman"/>
          <w:sz w:val="24"/>
          <w:szCs w:val="24"/>
          <w:lang w:eastAsia="ru-RU"/>
        </w:rPr>
        <w:t>Изъюров</w:t>
      </w:r>
      <w:proofErr w:type="spellEnd"/>
      <w:r>
        <w:rPr>
          <w:rFonts w:ascii="Times New Roman" w:eastAsia="Times New Roman" w:hAnsi="Times New Roman" w:cs="Times New Roman"/>
          <w:sz w:val="24"/>
          <w:szCs w:val="24"/>
          <w:lang w:eastAsia="ru-RU"/>
        </w:rPr>
        <w:t xml:space="preserve"> И.В. и ИП Михайлов М.А.) </w:t>
      </w:r>
      <w:r>
        <w:rPr>
          <w:rFonts w:ascii="Times New Roman" w:hAnsi="Times New Roman" w:cs="Times New Roman"/>
          <w:sz w:val="24"/>
          <w:szCs w:val="24"/>
          <w:shd w:val="clear" w:color="auto" w:fill="FFFFFF"/>
        </w:rPr>
        <w:t xml:space="preserve">в форме субсидий на возмещение части затрат, связанных с приобретением оборудования для создания и/или развития либо модернизации производства товаров (работ, услуг), а также на реализацию народных проектов в сфере малого и среднего предпринимательства, отобранных в рамках проекта «Народный бюджет». </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Общий объем финансовой поддержки составил 3600,0 тыс. руб. Финансирование осуществлялось за счет:</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республиканского бюджета Республики Коми- 1500,0 тыс. руб.;</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бюджета муниципального района «Корткеросский» - 550,0 тыс. руб.;</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соглашения о социально-экономическом партнерстве с АО «СЛПК» -1550,0 тыс. руб.</w:t>
      </w:r>
      <w:r>
        <w:rPr>
          <w:rFonts w:ascii="Times New Roman" w:eastAsia="Times New Roman" w:hAnsi="Times New Roman" w:cs="Times New Roman"/>
          <w:sz w:val="24"/>
          <w:szCs w:val="24"/>
          <w:lang w:eastAsia="ru-RU"/>
        </w:rPr>
        <w:t xml:space="preserve">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результате оказанной поддержки ИП Изъюрову И.В. были возмещены расходы на приобретение современного трактора </w:t>
      </w:r>
      <w:r>
        <w:rPr>
          <w:rFonts w:ascii="Times New Roman" w:eastAsia="Times New Roman" w:hAnsi="Times New Roman" w:cs="Times New Roman"/>
          <w:sz w:val="24"/>
          <w:szCs w:val="24"/>
          <w:lang w:val="en-US" w:eastAsia="ru-RU"/>
        </w:rPr>
        <w:t>ULAN</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RT</w:t>
      </w:r>
      <w:r>
        <w:rPr>
          <w:rFonts w:ascii="Times New Roman" w:eastAsia="Times New Roman" w:hAnsi="Times New Roman" w:cs="Times New Roman"/>
          <w:sz w:val="24"/>
          <w:szCs w:val="24"/>
          <w:lang w:eastAsia="ru-RU"/>
        </w:rPr>
        <w:t xml:space="preserve"> 904 </w:t>
      </w:r>
      <w:r>
        <w:rPr>
          <w:rFonts w:ascii="Times New Roman" w:eastAsia="Times New Roman" w:hAnsi="Times New Roman" w:cs="Times New Roman"/>
          <w:sz w:val="24"/>
          <w:szCs w:val="24"/>
          <w:lang w:val="en-US" w:eastAsia="ru-RU"/>
        </w:rPr>
        <w:t>PRO</w:t>
      </w:r>
      <w:r>
        <w:rPr>
          <w:rFonts w:ascii="Times New Roman" w:eastAsia="Times New Roman" w:hAnsi="Times New Roman" w:cs="Times New Roman"/>
          <w:sz w:val="24"/>
          <w:szCs w:val="24"/>
          <w:lang w:eastAsia="ru-RU"/>
        </w:rPr>
        <w:t xml:space="preserve">. ИП Михайлов М.А. приобрел </w:t>
      </w:r>
      <w:r>
        <w:rPr>
          <w:rFonts w:ascii="Times New Roman" w:hAnsi="Times New Roman" w:cs="Times New Roman"/>
          <w:sz w:val="24"/>
          <w:szCs w:val="24"/>
        </w:rPr>
        <w:t xml:space="preserve">новый автобус ПАЗ на 50 мест для перевозок по маршруту «Нившера- Сыктывкар- Нившера», что позволит сохранить транспортное сообщение с жителями 13 населенных пунктов Корткеросского района, обеспечив стабильные и удобные поездки. </w:t>
      </w:r>
      <w:r>
        <w:rPr>
          <w:rFonts w:ascii="Times New Roman" w:eastAsia="Times New Roman" w:hAnsi="Times New Roman" w:cs="Times New Roman"/>
          <w:sz w:val="24"/>
          <w:szCs w:val="24"/>
          <w:lang w:eastAsia="ru-RU"/>
        </w:rPr>
        <w:t>Реализация указанных проектов позволила создать 3 дополнительных рабочих места на предприятиях –получателей поддержки.</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Одним из направлений Подпрограммы является предоставление информационно-консультационной, организационной и кадровой поддержки субъектам малого и среднего предпринимательства. Администрация района активно информирует субъекты малого и среднего предпринимательства о мерах поддержки, реализуемых в Республике Коми и на территории района, об изменениях в законодательстве и других актуальных новостях. Информация размещается на официальном сайте, в группах «</w:t>
      </w:r>
      <w:proofErr w:type="spellStart"/>
      <w:r>
        <w:rPr>
          <w:rFonts w:ascii="Times New Roman" w:eastAsia="Times New Roman" w:hAnsi="Times New Roman" w:cs="Times New Roman"/>
          <w:sz w:val="24"/>
          <w:szCs w:val="24"/>
          <w:lang w:eastAsia="ru-RU"/>
        </w:rPr>
        <w:t>ВКонтакте</w:t>
      </w:r>
      <w:proofErr w:type="spellEnd"/>
      <w:r>
        <w:rPr>
          <w:rFonts w:ascii="Times New Roman" w:eastAsia="Times New Roman" w:hAnsi="Times New Roman" w:cs="Times New Roman"/>
          <w:sz w:val="24"/>
          <w:szCs w:val="24"/>
          <w:lang w:eastAsia="ru-RU"/>
        </w:rPr>
        <w:t xml:space="preserve">» администрации района и «Малое и среднее предпринимательство Корткеросского района», а также рассылается по электронной почте. </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Совещательным органом в сфере малого и среднего предпринимательства на территории района является Координационный совет по малому и среднему предпринимательству при Главе муниципального района «Корткеросский»—руководителе администрации, в состав которого входят представители бизнес-сообщества. В 2025 году проведено 2 заседания Совета, на которых рассматривались вопросы о мерах государственной поддержки субъектов малого и среднего предпринимательства в Республике Коми, развития семейных компаний и другие актуальные темы. По итогам обсуждений предложения и рекомендации были направлены в соответствующие органы и организации для рассмотрения и учёта в работе.</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2025 года для субъектов малого и среднего предпринимательства и граждан, заинтересованных в открытии собственного бизнеса, организованы следующие мероприятия:</w:t>
      </w:r>
    </w:p>
    <w:p>
      <w:pPr>
        <w:pStyle w:val="a6"/>
        <w:numPr>
          <w:ilvl w:val="0"/>
          <w:numId w:val="4"/>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апреля 2025 года - заседание общественного Лесного совета при Главе МР «Корткеросский» - руководителе администрации.</w:t>
      </w:r>
    </w:p>
    <w:p>
      <w:pPr>
        <w:pStyle w:val="a6"/>
        <w:numPr>
          <w:ilvl w:val="0"/>
          <w:numId w:val="4"/>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декабря 2025 года - встреча предпринимателей Корткеросского района с представителями </w:t>
      </w:r>
      <w:proofErr w:type="spellStart"/>
      <w:r>
        <w:rPr>
          <w:rFonts w:ascii="Times New Roman" w:eastAsia="Times New Roman" w:hAnsi="Times New Roman" w:cs="Times New Roman"/>
          <w:sz w:val="24"/>
          <w:szCs w:val="24"/>
          <w:lang w:eastAsia="ru-RU"/>
        </w:rPr>
        <w:t>Торгово</w:t>
      </w:r>
      <w:proofErr w:type="spellEnd"/>
      <w:r>
        <w:rPr>
          <w:rFonts w:ascii="Times New Roman" w:eastAsia="Times New Roman" w:hAnsi="Times New Roman" w:cs="Times New Roman"/>
          <w:sz w:val="24"/>
          <w:szCs w:val="24"/>
          <w:lang w:eastAsia="ru-RU"/>
        </w:rPr>
        <w:t xml:space="preserve"> - промышленной платы Республики </w:t>
      </w:r>
      <w:proofErr w:type="gramStart"/>
      <w:r>
        <w:rPr>
          <w:rFonts w:ascii="Times New Roman" w:eastAsia="Times New Roman" w:hAnsi="Times New Roman" w:cs="Times New Roman"/>
          <w:sz w:val="24"/>
          <w:szCs w:val="24"/>
          <w:lang w:eastAsia="ru-RU"/>
        </w:rPr>
        <w:t>Коми,  Совета</w:t>
      </w:r>
      <w:proofErr w:type="gramEnd"/>
      <w:r>
        <w:rPr>
          <w:rFonts w:ascii="Times New Roman" w:eastAsia="Times New Roman" w:hAnsi="Times New Roman" w:cs="Times New Roman"/>
          <w:sz w:val="24"/>
          <w:szCs w:val="24"/>
          <w:lang w:eastAsia="ru-RU"/>
        </w:rPr>
        <w:t xml:space="preserve"> сельских </w:t>
      </w:r>
      <w:r>
        <w:rPr>
          <w:rFonts w:ascii="Times New Roman" w:eastAsia="Times New Roman" w:hAnsi="Times New Roman" w:cs="Times New Roman"/>
          <w:sz w:val="24"/>
          <w:szCs w:val="24"/>
          <w:lang w:eastAsia="ru-RU"/>
        </w:rPr>
        <w:lastRenderedPageBreak/>
        <w:t>предпринимателей при президиуме МОД «Ком Войтыр» и УФНС России по Республике Коми.</w:t>
      </w:r>
    </w:p>
    <w:p>
      <w:pPr>
        <w:widowControl w:val="0"/>
        <w:autoSpaceDE w:val="0"/>
        <w:autoSpaceDN w:val="0"/>
        <w:adjustRightInd w:val="0"/>
        <w:spacing w:after="0" w:line="240" w:lineRule="auto"/>
        <w:ind w:firstLine="567"/>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 2025 году в мероприятиях, направленных на поддержку предпринимательства, приняли участие 34 субъекта малого и среднего предпринимательства и граждан, планирующих открыть собственное дело.</w:t>
      </w:r>
    </w:p>
    <w:p>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shd w:val="clear" w:color="auto" w:fill="FFFFFF"/>
        </w:rPr>
        <w:t>В 2026 году реализация мероприятий подпрограммы поддержки предпринимательства будет продолжена в соответствии с установленными целями и задачами.</w:t>
      </w:r>
      <w:bookmarkStart w:id="0" w:name="_GoBack"/>
      <w:bookmarkEnd w:id="0"/>
    </w:p>
    <w:p>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РАЗВИТИЕ ПОТРЕБИТЕЛЬСКОГО РЫНКА</w:t>
      </w:r>
    </w:p>
    <w:p>
      <w:pPr>
        <w:spacing w:after="0" w:line="240" w:lineRule="auto"/>
        <w:ind w:firstLine="567"/>
        <w:contextualSpacing/>
        <w:jc w:val="center"/>
        <w:rPr>
          <w:rFonts w:ascii="Times New Roman" w:eastAsia="Times New Roman" w:hAnsi="Times New Roman" w:cs="Times New Roman"/>
          <w:sz w:val="24"/>
          <w:szCs w:val="24"/>
          <w:lang w:eastAsia="ru-RU"/>
        </w:rPr>
      </w:pPr>
    </w:p>
    <w:p>
      <w:pPr>
        <w:pStyle w:val="Default"/>
        <w:ind w:firstLine="567"/>
        <w:jc w:val="both"/>
      </w:pPr>
      <w:r>
        <w:t xml:space="preserve">По состоянию на 01.01.2026 года сферу потребительского рынка муниципального района «Корткеросский» представляют 162 объекта, из них: </w:t>
      </w:r>
    </w:p>
    <w:p>
      <w:pPr>
        <w:pStyle w:val="Default"/>
        <w:ind w:firstLine="567"/>
        <w:jc w:val="both"/>
        <w:rPr>
          <w:rFonts w:eastAsia="Times New Roman"/>
        </w:rPr>
      </w:pPr>
      <w:r>
        <w:t>-</w:t>
      </w:r>
      <w:r>
        <w:rPr>
          <w:rFonts w:eastAsia="Times New Roman"/>
        </w:rPr>
        <w:t>138 объектов розничной торговли, в том числе: 81 торговый объект со смешанным ассортиментом товаров, 15 неспециализированных продовольственных магазинов, 25 неспециализированных непродовольственных магазинов и 17 специализированных непродовольственных магазинов;</w:t>
      </w:r>
    </w:p>
    <w:p>
      <w:pPr>
        <w:pStyle w:val="a6"/>
        <w:numPr>
          <w:ilvl w:val="0"/>
          <w:numId w:val="3"/>
        </w:numPr>
        <w:tabs>
          <w:tab w:val="left" w:pos="0"/>
        </w:tabs>
        <w:spacing w:after="0" w:line="240" w:lineRule="auto"/>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объектов общественного питания на 204 посадочных места;</w:t>
      </w:r>
    </w:p>
    <w:p>
      <w:pPr>
        <w:pStyle w:val="a6"/>
        <w:numPr>
          <w:ilvl w:val="0"/>
          <w:numId w:val="3"/>
        </w:numPr>
        <w:tabs>
          <w:tab w:val="left" w:pos="0"/>
        </w:tabs>
        <w:spacing w:after="0" w:line="240" w:lineRule="auto"/>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объектов бытового обслуживания населения (в сфере оказания бытовых услуг зарегистрировано 19 предпринимателей).</w:t>
      </w:r>
    </w:p>
    <w:p>
      <w:pPr>
        <w:tabs>
          <w:tab w:val="left" w:pos="1980"/>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данными </w:t>
      </w:r>
      <w:proofErr w:type="spellStart"/>
      <w:r>
        <w:rPr>
          <w:rFonts w:ascii="Times New Roman" w:eastAsia="Times New Roman" w:hAnsi="Times New Roman" w:cs="Times New Roman"/>
          <w:sz w:val="24"/>
          <w:szCs w:val="24"/>
          <w:lang w:eastAsia="ru-RU"/>
        </w:rPr>
        <w:t>Комистата</w:t>
      </w:r>
      <w:proofErr w:type="spellEnd"/>
      <w:r>
        <w:rPr>
          <w:rFonts w:ascii="Times New Roman" w:eastAsia="Times New Roman" w:hAnsi="Times New Roman" w:cs="Times New Roman"/>
          <w:sz w:val="24"/>
          <w:szCs w:val="24"/>
          <w:lang w:eastAsia="ru-RU"/>
        </w:rPr>
        <w:t>, оборот розничной торговли в Корткеросском районе в 2025 году составил 1810,4 млн руб., что на 6,8 % превышает показатель предыдущего года. Оборот общественного питания составил 33,2 млн. руб., что на 31,2% выше уровня 2024 года.</w:t>
      </w:r>
    </w:p>
    <w:p>
      <w:pPr>
        <w:tabs>
          <w:tab w:val="left" w:pos="1980"/>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Наиболее развитая сеть торговых предприятий отмечается в сельских поселениях «Корткерос», «Сторожевск» и «Нившера», где на один населённый пункт приходится соответственно 48, 13 и 13 торговых точек. Основу торговой деятельности в этих поселениях составляют предприятия смешанной розничной торговли.</w:t>
      </w:r>
    </w:p>
    <w:p>
      <w:pPr>
        <w:tabs>
          <w:tab w:val="left" w:pos="1980"/>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Самыми крупными районными организациями, осуществляющими розничную торговлю посредством организации торговой сети, являются ПО «Корткеросское» и ООО «Семья». ПО «Корткеросское» управляет 35 магазинами, обслуживающими 22 населённых пункта района, включая отдалённые и труднодоступные территории. ООО «Семья» располагает 5 магазинами и обслуживает 2 населённых пункта.</w:t>
      </w:r>
    </w:p>
    <w:p>
      <w:pPr>
        <w:pStyle w:val="a8"/>
        <w:shd w:val="clear" w:color="auto" w:fill="FFFFFF"/>
        <w:spacing w:before="0" w:beforeAutospacing="0" w:after="0" w:afterAutospacing="0"/>
        <w:ind w:firstLine="567"/>
        <w:jc w:val="both"/>
        <w:rPr>
          <w:color w:val="212529"/>
        </w:rPr>
      </w:pPr>
      <w:r>
        <w:rPr>
          <w:color w:val="212529"/>
        </w:rPr>
        <w:t xml:space="preserve">На территории района функционируют 6 объектов розничной торговли федеральных торговых сетей, а именно: 5 магазинов «Магнит» и 1 магазин «Пятёрочка». Знаковым событием для повышения уровня торгового обслуживания населения в прошлом году стало открытие нового магазина сети «Магнит» в селе Сторожевск. </w:t>
      </w:r>
    </w:p>
    <w:p>
      <w:pPr>
        <w:tabs>
          <w:tab w:val="left" w:pos="1980"/>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color w:val="212529"/>
          <w:sz w:val="24"/>
          <w:szCs w:val="24"/>
        </w:rPr>
        <w:t xml:space="preserve">Присутствие федеральных операторов на локальном рынке </w:t>
      </w:r>
      <w:r>
        <w:rPr>
          <w:rFonts w:ascii="Times New Roman" w:eastAsia="Times New Roman" w:hAnsi="Times New Roman" w:cs="Times New Roman"/>
          <w:sz w:val="24"/>
          <w:szCs w:val="24"/>
          <w:lang w:eastAsia="ru-RU"/>
        </w:rPr>
        <w:t xml:space="preserve">способствует удовлетворению покупательского спроса, повышению качества торгового обслуживания и усилению конкуренции. </w:t>
      </w:r>
    </w:p>
    <w:p>
      <w:pPr>
        <w:pStyle w:val="a8"/>
        <w:shd w:val="clear" w:color="auto" w:fill="FFFFFF"/>
        <w:spacing w:before="0" w:beforeAutospacing="0" w:after="0" w:afterAutospacing="0"/>
        <w:ind w:firstLine="567"/>
        <w:jc w:val="both"/>
        <w:rPr>
          <w:color w:val="212529"/>
        </w:rPr>
      </w:pPr>
    </w:p>
    <w:p>
      <w:pPr>
        <w:tabs>
          <w:tab w:val="left" w:pos="1980"/>
        </w:tabs>
        <w:spacing w:after="0" w:line="240" w:lineRule="auto"/>
        <w:ind w:firstLine="567"/>
        <w:contextualSpacing/>
        <w:jc w:val="both"/>
        <w:rPr>
          <w:rFonts w:ascii="Times New Roman" w:eastAsia="Times New Roman" w:hAnsi="Times New Roman" w:cs="Times New Roman"/>
          <w:sz w:val="28"/>
          <w:szCs w:val="28"/>
          <w:lang w:eastAsia="ru-RU"/>
        </w:rPr>
      </w:pPr>
    </w:p>
    <w:p>
      <w:pPr>
        <w:spacing w:after="0" w:line="240" w:lineRule="auto"/>
        <w:ind w:firstLine="709"/>
        <w:jc w:val="both"/>
        <w:rPr>
          <w:rFonts w:ascii="Times New Roman" w:hAnsi="Times New Roman"/>
          <w:iCs/>
          <w:sz w:val="24"/>
          <w:szCs w:val="24"/>
        </w:rPr>
      </w:pPr>
      <w:r>
        <w:rPr>
          <w:rFonts w:ascii="Times New Roman" w:eastAsia="Times New Roman" w:hAnsi="Times New Roman" w:cs="Times New Roman"/>
          <w:sz w:val="24"/>
          <w:szCs w:val="24"/>
          <w:lang w:eastAsia="ru-RU"/>
        </w:rPr>
        <w:t xml:space="preserve">Развивается сегмент дистанционной торговли: на территории района действуют 17 пунктов выдачи товаров OZON и WILDBERRIES </w:t>
      </w:r>
      <w:r>
        <w:rPr>
          <w:rFonts w:ascii="Times New Roman" w:hAnsi="Times New Roman" w:cs="Times New Roman"/>
          <w:sz w:val="24"/>
          <w:szCs w:val="24"/>
        </w:rPr>
        <w:t xml:space="preserve">(5 в с. Корткерос, 1 в п. Аджером, 1 в с. Богородск, 2 в с. Сторожевск, 1 в с. Подъельск, 1 в </w:t>
      </w:r>
      <w:proofErr w:type="spellStart"/>
      <w:r>
        <w:rPr>
          <w:rFonts w:ascii="Times New Roman" w:hAnsi="Times New Roman" w:cs="Times New Roman"/>
          <w:sz w:val="24"/>
          <w:szCs w:val="24"/>
        </w:rPr>
        <w:t>с.Мордино</w:t>
      </w:r>
      <w:proofErr w:type="spellEnd"/>
      <w:r>
        <w:rPr>
          <w:rFonts w:ascii="Times New Roman" w:hAnsi="Times New Roman" w:cs="Times New Roman"/>
          <w:sz w:val="24"/>
          <w:szCs w:val="24"/>
        </w:rPr>
        <w:t xml:space="preserve">, 2 в с. Подтыбок, 1 в с.Нившера, 1 в </w:t>
      </w:r>
      <w:proofErr w:type="spellStart"/>
      <w:r>
        <w:rPr>
          <w:rFonts w:ascii="Times New Roman" w:hAnsi="Times New Roman" w:cs="Times New Roman"/>
          <w:sz w:val="24"/>
          <w:szCs w:val="24"/>
        </w:rPr>
        <w:t>п.Приозерный</w:t>
      </w:r>
      <w:proofErr w:type="spellEnd"/>
      <w:r>
        <w:rPr>
          <w:rFonts w:ascii="Times New Roman" w:hAnsi="Times New Roman" w:cs="Times New Roman"/>
          <w:sz w:val="24"/>
          <w:szCs w:val="24"/>
        </w:rPr>
        <w:t xml:space="preserve">, 1 в </w:t>
      </w:r>
      <w:proofErr w:type="spellStart"/>
      <w:r>
        <w:rPr>
          <w:rFonts w:ascii="Times New Roman" w:hAnsi="Times New Roman" w:cs="Times New Roman"/>
          <w:sz w:val="24"/>
          <w:szCs w:val="24"/>
        </w:rPr>
        <w:t>д.Важкурья</w:t>
      </w:r>
      <w:proofErr w:type="spellEnd"/>
      <w:r>
        <w:rPr>
          <w:rFonts w:ascii="Times New Roman" w:hAnsi="Times New Roman" w:cs="Times New Roman"/>
          <w:sz w:val="24"/>
          <w:szCs w:val="24"/>
        </w:rPr>
        <w:t xml:space="preserve">, 1 в </w:t>
      </w:r>
      <w:proofErr w:type="spellStart"/>
      <w:r>
        <w:rPr>
          <w:rFonts w:ascii="Times New Roman" w:hAnsi="Times New Roman" w:cs="Times New Roman"/>
          <w:sz w:val="24"/>
          <w:szCs w:val="24"/>
        </w:rPr>
        <w:t>с.Небдино</w:t>
      </w:r>
      <w:proofErr w:type="spellEnd"/>
      <w:r>
        <w:rPr>
          <w:rFonts w:ascii="Times New Roman" w:hAnsi="Times New Roman" w:cs="Times New Roman"/>
          <w:sz w:val="24"/>
          <w:szCs w:val="24"/>
        </w:rPr>
        <w:t>).</w:t>
      </w:r>
    </w:p>
    <w:p>
      <w:pPr>
        <w:pStyle w:val="aa"/>
        <w:ind w:firstLine="709"/>
        <w:jc w:val="both"/>
        <w:rPr>
          <w:rFonts w:ascii="Times New Roman" w:hAnsi="Times New Roman"/>
          <w:sz w:val="24"/>
          <w:szCs w:val="24"/>
        </w:rPr>
      </w:pPr>
      <w:r>
        <w:rPr>
          <w:rFonts w:ascii="Times New Roman" w:hAnsi="Times New Roman"/>
          <w:iCs/>
          <w:sz w:val="24"/>
          <w:szCs w:val="24"/>
        </w:rPr>
        <w:t xml:space="preserve">Проблемным вопросом является отсутствие торговых объектов в отдельных малочисленных, отдаленных и труднодоступных населенных пунктах района. Торговое обслуживание в них является малопривлекательным (убыточным) для представителей бизнеса по причине низкой платежеспособности и малочисленности населения, а также существенных затрат, превышающих размер выручки, в силу ограниченной транспортной доступности и удаленности от районного центра. </w:t>
      </w:r>
      <w:r>
        <w:rPr>
          <w:rFonts w:ascii="Times New Roman" w:hAnsi="Times New Roman"/>
          <w:sz w:val="24"/>
          <w:szCs w:val="24"/>
        </w:rPr>
        <w:t xml:space="preserve">Также существенное влияние на устойчивость функционирования торговых объектов в деревнях оказывает кадровый </w:t>
      </w:r>
      <w:r>
        <w:rPr>
          <w:rFonts w:ascii="Times New Roman" w:hAnsi="Times New Roman"/>
          <w:sz w:val="24"/>
          <w:szCs w:val="24"/>
        </w:rPr>
        <w:lastRenderedPageBreak/>
        <w:t xml:space="preserve">дефицит. Острая нехватка квалифицированного персонала (продавцов) становится одним из ключевых рисков, приводящих к вынужденному прекращению работы торговых точек. В качестве примера негативного влияния кадрового фактора можно привести ситуацию с закрытием в 2025 году магазина в д. </w:t>
      </w:r>
      <w:proofErr w:type="spellStart"/>
      <w:r>
        <w:rPr>
          <w:rFonts w:ascii="Times New Roman" w:hAnsi="Times New Roman"/>
          <w:sz w:val="24"/>
          <w:szCs w:val="24"/>
        </w:rPr>
        <w:t>Эжол</w:t>
      </w:r>
      <w:proofErr w:type="spellEnd"/>
      <w:r>
        <w:rPr>
          <w:rFonts w:ascii="Times New Roman" w:hAnsi="Times New Roman"/>
          <w:sz w:val="24"/>
          <w:szCs w:val="24"/>
        </w:rPr>
        <w:t xml:space="preserve">. Магазин будет закрыт до решения кадрового вопроса. </w:t>
      </w:r>
    </w:p>
    <w:p>
      <w:pPr>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В целях организации торговли в этих населенных пунктах администрация района ведет системную работу, проводятся переговоры с руководителями торговых организаций, в том числе рассматривается возможность реализации проектов в рамках «Народного бюджета» в сфере торговли. </w:t>
      </w:r>
    </w:p>
    <w:p>
      <w:pPr>
        <w:spacing w:after="0" w:line="240" w:lineRule="auto"/>
        <w:ind w:firstLine="567"/>
        <w:jc w:val="both"/>
        <w:rPr>
          <w:rFonts w:ascii="Times New Roman" w:hAnsi="Times New Roman" w:cs="Times New Roman"/>
          <w:b/>
          <w:iCs/>
          <w:color w:val="000000" w:themeColor="text1"/>
          <w:sz w:val="28"/>
          <w:szCs w:val="24"/>
        </w:rPr>
      </w:pPr>
      <w:r>
        <w:rPr>
          <w:rStyle w:val="ac"/>
          <w:rFonts w:ascii="Times New Roman" w:hAnsi="Times New Roman" w:cs="Times New Roman"/>
          <w:b w:val="0"/>
          <w:color w:val="000000" w:themeColor="text1"/>
          <w:sz w:val="24"/>
          <w:shd w:val="clear" w:color="auto" w:fill="FFFFFF"/>
        </w:rPr>
        <w:t>В декабре 2025 года администрацией было направлено обращение в потребительский кооператив «Региональная торговая сеть» для оказания содействия в организации выездной торговли в труднодоступных и отдаленных малочисленных населенных пунктах, где отсутствуют стационарные торговые объекты, в частности в деревни </w:t>
      </w:r>
      <w:proofErr w:type="spellStart"/>
      <w:r>
        <w:rPr>
          <w:rStyle w:val="ac"/>
          <w:rFonts w:ascii="Times New Roman" w:hAnsi="Times New Roman" w:cs="Times New Roman"/>
          <w:b w:val="0"/>
          <w:color w:val="000000" w:themeColor="text1"/>
          <w:sz w:val="24"/>
          <w:shd w:val="clear" w:color="auto" w:fill="FFFFFF"/>
        </w:rPr>
        <w:t>Эжол</w:t>
      </w:r>
      <w:proofErr w:type="spellEnd"/>
      <w:r>
        <w:rPr>
          <w:rStyle w:val="ac"/>
          <w:rFonts w:ascii="Times New Roman" w:hAnsi="Times New Roman" w:cs="Times New Roman"/>
          <w:b w:val="0"/>
          <w:color w:val="000000" w:themeColor="text1"/>
          <w:sz w:val="24"/>
          <w:shd w:val="clear" w:color="auto" w:fill="FFFFFF"/>
        </w:rPr>
        <w:t xml:space="preserve">, Лопыдино </w:t>
      </w:r>
      <w:proofErr w:type="spellStart"/>
      <w:r>
        <w:rPr>
          <w:rStyle w:val="ac"/>
          <w:rFonts w:ascii="Times New Roman" w:hAnsi="Times New Roman" w:cs="Times New Roman"/>
          <w:b w:val="0"/>
          <w:color w:val="000000" w:themeColor="text1"/>
          <w:sz w:val="24"/>
          <w:shd w:val="clear" w:color="auto" w:fill="FFFFFF"/>
        </w:rPr>
        <w:t>Четдино</w:t>
      </w:r>
      <w:proofErr w:type="spellEnd"/>
      <w:r>
        <w:rPr>
          <w:rStyle w:val="ac"/>
          <w:rFonts w:ascii="Times New Roman" w:hAnsi="Times New Roman" w:cs="Times New Roman"/>
          <w:b w:val="0"/>
          <w:color w:val="000000" w:themeColor="text1"/>
          <w:sz w:val="24"/>
          <w:shd w:val="clear" w:color="auto" w:fill="FFFFFF"/>
        </w:rPr>
        <w:t xml:space="preserve">, </w:t>
      </w:r>
      <w:proofErr w:type="spellStart"/>
      <w:r>
        <w:rPr>
          <w:rStyle w:val="ac"/>
          <w:rFonts w:ascii="Times New Roman" w:hAnsi="Times New Roman" w:cs="Times New Roman"/>
          <w:b w:val="0"/>
          <w:color w:val="000000" w:themeColor="text1"/>
          <w:sz w:val="24"/>
          <w:shd w:val="clear" w:color="auto" w:fill="FFFFFF"/>
        </w:rPr>
        <w:t>Конша</w:t>
      </w:r>
      <w:proofErr w:type="spellEnd"/>
      <w:r>
        <w:rPr>
          <w:rStyle w:val="ac"/>
          <w:rFonts w:ascii="Times New Roman" w:hAnsi="Times New Roman" w:cs="Times New Roman"/>
          <w:b w:val="0"/>
          <w:color w:val="000000" w:themeColor="text1"/>
          <w:sz w:val="24"/>
          <w:shd w:val="clear" w:color="auto" w:fill="FFFFFF"/>
        </w:rPr>
        <w:t xml:space="preserve"> и Дань. В феврале 2026 года состоялся первый выезд автолавки в данные населенные пункты. Выезды будут осуществляться на постоянной основе, работа в этом направлении продолжается.</w:t>
      </w:r>
    </w:p>
    <w:p>
      <w:pPr>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Положительным опытом в сфере организации торговли в отдаленных и малочисленных деревнях в 2025 году стала реализация Потребительским обществом «Корткеросское» проекта по строительству стационарного торгового объекта в д. </w:t>
      </w:r>
      <w:proofErr w:type="spellStart"/>
      <w:r>
        <w:rPr>
          <w:rFonts w:ascii="Times New Roman" w:hAnsi="Times New Roman" w:cs="Times New Roman"/>
          <w:sz w:val="24"/>
          <w:szCs w:val="24"/>
          <w:shd w:val="clear" w:color="auto" w:fill="FFFFFF"/>
        </w:rPr>
        <w:t>Зулэб</w:t>
      </w:r>
      <w:proofErr w:type="spellEnd"/>
      <w:r>
        <w:rPr>
          <w:rFonts w:ascii="Times New Roman" w:hAnsi="Times New Roman" w:cs="Times New Roman"/>
          <w:sz w:val="24"/>
          <w:szCs w:val="24"/>
          <w:shd w:val="clear" w:color="auto" w:fill="FFFFFF"/>
        </w:rPr>
        <w:t>. Это стало возможным благодаря проекту «Народный бюджет» в сфере торговли. Общая стоимость проекта составила 3,6 млн руб., включая финансирование из республиканского бюджета Республики Коми (2,0 млн руб.), бюджета муниципального района «Корткеросский» (0,4 млн руб.) и собственных средств организации (1,2 млн руб.). </w:t>
      </w:r>
      <w:r>
        <w:rPr>
          <w:rStyle w:val="ac"/>
          <w:rFonts w:ascii="Times New Roman" w:hAnsi="Times New Roman" w:cs="Times New Roman"/>
          <w:sz w:val="24"/>
          <w:szCs w:val="24"/>
          <w:shd w:val="clear" w:color="auto" w:fill="FFFFFF"/>
        </w:rPr>
        <w:t>Благодаря поддержке в сельском населенном пункте сохранено обеспечение населения продовольственными и непродовольственными товарами</w:t>
      </w:r>
      <w:r>
        <w:rPr>
          <w:rFonts w:ascii="Times New Roman" w:hAnsi="Times New Roman" w:cs="Times New Roman"/>
          <w:color w:val="3E3E3E"/>
          <w:sz w:val="24"/>
          <w:szCs w:val="24"/>
          <w:shd w:val="clear" w:color="auto" w:fill="FFFFFF"/>
        </w:rPr>
        <w:t>.</w:t>
      </w:r>
    </w:p>
    <w:p>
      <w:pPr>
        <w:tabs>
          <w:tab w:val="left" w:pos="1980"/>
        </w:tabs>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tabs>
          <w:tab w:val="left" w:pos="1980"/>
        </w:tab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РАЗВИТИЕ СЕЛЬСКОГО ХОЗЯЙСТВА</w:t>
      </w:r>
    </w:p>
    <w:p>
      <w:pPr>
        <w:tabs>
          <w:tab w:val="left" w:pos="1980"/>
        </w:tabs>
        <w:spacing w:after="0" w:line="240" w:lineRule="auto"/>
        <w:ind w:firstLine="567"/>
        <w:contextualSpacing/>
        <w:jc w:val="both"/>
        <w:rPr>
          <w:rFonts w:ascii="Times New Roman" w:eastAsia="Times New Roman" w:hAnsi="Times New Roman" w:cs="Times New Roman"/>
          <w:b/>
          <w:sz w:val="24"/>
          <w:szCs w:val="24"/>
          <w:highlight w:val="yellow"/>
          <w:lang w:eastAsia="ru-RU"/>
        </w:rPr>
      </w:pP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структуру агропромышленного комплекса муниципального района «Корткеросский» входят:</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 организаций, занимающихся производством и реализацией сельскохозяйственной продукции: ООО «</w:t>
      </w:r>
      <w:proofErr w:type="spellStart"/>
      <w:r>
        <w:rPr>
          <w:rFonts w:ascii="Times New Roman" w:eastAsia="Times New Roman" w:hAnsi="Times New Roman" w:cs="Times New Roman"/>
          <w:sz w:val="24"/>
          <w:szCs w:val="24"/>
        </w:rPr>
        <w:t>Небдинский</w:t>
      </w:r>
      <w:proofErr w:type="spellEnd"/>
      <w:r>
        <w:rPr>
          <w:rFonts w:ascii="Times New Roman" w:eastAsia="Times New Roman" w:hAnsi="Times New Roman" w:cs="Times New Roman"/>
          <w:sz w:val="24"/>
          <w:szCs w:val="24"/>
        </w:rPr>
        <w:t>», ООО «Северная Нива», СПК «Исток», СПК «</w:t>
      </w:r>
      <w:proofErr w:type="spellStart"/>
      <w:r>
        <w:rPr>
          <w:rFonts w:ascii="Times New Roman" w:eastAsia="Times New Roman" w:hAnsi="Times New Roman" w:cs="Times New Roman"/>
          <w:sz w:val="24"/>
          <w:szCs w:val="24"/>
        </w:rPr>
        <w:t>Вишерский</w:t>
      </w:r>
      <w:proofErr w:type="spellEnd"/>
      <w:r>
        <w:rPr>
          <w:rFonts w:ascii="Times New Roman" w:eastAsia="Times New Roman" w:hAnsi="Times New Roman" w:cs="Times New Roman"/>
          <w:sz w:val="24"/>
          <w:szCs w:val="24"/>
        </w:rPr>
        <w:t>», ООО «Важкурья», ООО «Сторожевск», ООО «Нившера».</w:t>
      </w:r>
    </w:p>
    <w:p>
      <w:pPr>
        <w:pStyle w:val="a6"/>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 в производстве пищевой продукции: ПО «Корткеросское», ИП </w:t>
      </w:r>
      <w:proofErr w:type="spellStart"/>
      <w:r>
        <w:rPr>
          <w:rFonts w:ascii="Times New Roman" w:eastAsia="Times New Roman" w:hAnsi="Times New Roman" w:cs="Times New Roman"/>
          <w:sz w:val="24"/>
          <w:szCs w:val="24"/>
        </w:rPr>
        <w:t>Милош</w:t>
      </w:r>
      <w:proofErr w:type="spellEnd"/>
      <w:r>
        <w:rPr>
          <w:rFonts w:ascii="Times New Roman" w:eastAsia="Times New Roman" w:hAnsi="Times New Roman" w:cs="Times New Roman"/>
          <w:sz w:val="24"/>
          <w:szCs w:val="24"/>
        </w:rPr>
        <w:t xml:space="preserve"> Н.В., ИП </w:t>
      </w:r>
      <w:proofErr w:type="spellStart"/>
      <w:r>
        <w:rPr>
          <w:rFonts w:ascii="Times New Roman" w:eastAsia="Times New Roman" w:hAnsi="Times New Roman" w:cs="Times New Roman"/>
          <w:sz w:val="24"/>
          <w:szCs w:val="24"/>
        </w:rPr>
        <w:t>Мишарина</w:t>
      </w:r>
      <w:proofErr w:type="spellEnd"/>
      <w:r>
        <w:rPr>
          <w:rFonts w:ascii="Times New Roman" w:eastAsia="Times New Roman" w:hAnsi="Times New Roman" w:cs="Times New Roman"/>
          <w:sz w:val="24"/>
          <w:szCs w:val="24"/>
        </w:rPr>
        <w:t xml:space="preserve"> О.И.</w:t>
      </w:r>
    </w:p>
    <w:p>
      <w:pPr>
        <w:pStyle w:val="a6"/>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 </w:t>
      </w:r>
      <w:r>
        <w:rPr>
          <w:rFonts w:ascii="Times New Roman" w:eastAsia="Times New Roman" w:hAnsi="Times New Roman" w:cs="Times New Roman"/>
          <w:sz w:val="24"/>
          <w:szCs w:val="24"/>
          <w:shd w:val="clear" w:color="auto" w:fill="FFFFFF"/>
        </w:rPr>
        <w:t>сельскохозяйственных перерабатывающих снабженческо-сбытовых потребительских кооперативов</w:t>
      </w:r>
      <w:r>
        <w:rPr>
          <w:rFonts w:ascii="Times New Roman" w:eastAsia="Times New Roman" w:hAnsi="Times New Roman" w:cs="Times New Roman"/>
          <w:sz w:val="24"/>
          <w:szCs w:val="24"/>
        </w:rPr>
        <w:t>: СПССПОК «Сила жизни», СПССПК «</w:t>
      </w:r>
      <w:proofErr w:type="spellStart"/>
      <w:r>
        <w:rPr>
          <w:rFonts w:ascii="Times New Roman" w:eastAsia="Times New Roman" w:hAnsi="Times New Roman" w:cs="Times New Roman"/>
          <w:sz w:val="24"/>
          <w:szCs w:val="24"/>
        </w:rPr>
        <w:t>Миян</w:t>
      </w:r>
      <w:proofErr w:type="spellEnd"/>
      <w:r>
        <w:rPr>
          <w:rFonts w:ascii="Times New Roman" w:eastAsia="Times New Roman" w:hAnsi="Times New Roman" w:cs="Times New Roman"/>
          <w:sz w:val="24"/>
          <w:szCs w:val="24"/>
        </w:rPr>
        <w:t>», СПССПОК «</w:t>
      </w:r>
      <w:proofErr w:type="spellStart"/>
      <w:r>
        <w:rPr>
          <w:rFonts w:ascii="Times New Roman" w:eastAsia="Times New Roman" w:hAnsi="Times New Roman" w:cs="Times New Roman"/>
          <w:sz w:val="24"/>
          <w:szCs w:val="24"/>
        </w:rPr>
        <w:t>Ордым</w:t>
      </w:r>
      <w:proofErr w:type="spellEnd"/>
      <w:r>
        <w:rPr>
          <w:rFonts w:ascii="Times New Roman" w:eastAsia="Times New Roman" w:hAnsi="Times New Roman" w:cs="Times New Roman"/>
          <w:sz w:val="24"/>
          <w:szCs w:val="24"/>
        </w:rPr>
        <w:t>», СПССПК «</w:t>
      </w:r>
      <w:proofErr w:type="spellStart"/>
      <w:r>
        <w:rPr>
          <w:rFonts w:ascii="Times New Roman" w:eastAsia="Times New Roman" w:hAnsi="Times New Roman" w:cs="Times New Roman"/>
          <w:sz w:val="24"/>
          <w:szCs w:val="24"/>
        </w:rPr>
        <w:t>Пезмогский</w:t>
      </w:r>
      <w:proofErr w:type="spellEnd"/>
      <w:r>
        <w:rPr>
          <w:rFonts w:ascii="Times New Roman" w:eastAsia="Times New Roman" w:hAnsi="Times New Roman" w:cs="Times New Roman"/>
          <w:sz w:val="24"/>
          <w:szCs w:val="24"/>
        </w:rPr>
        <w:t>»;</w:t>
      </w:r>
    </w:p>
    <w:p>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  крестьянских (фермерских) хозяйств.</w:t>
      </w: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Основным направлением деятельности большинства сельскохозяйственных организаций является первичное производство продукции растениеводства и животноводства.</w:t>
      </w: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 итогам 2025 года сельскохозяйственные предприятия Корткеросского района занимают лидирующую позицию по объемам производства молока среди муниципальных образований Республики Коми, обеспечивая 28,7% от общего объема по республике, </w:t>
      </w:r>
      <w:r>
        <w:rPr>
          <w:rFonts w:ascii="Times New Roman" w:eastAsia="Times New Roman" w:hAnsi="Times New Roman" w:cs="Times New Roman"/>
          <w:sz w:val="24"/>
          <w:szCs w:val="24"/>
          <w:lang w:eastAsia="ru-RU"/>
        </w:rPr>
        <w:t>и по численности поголовья крупного рогатого скота 24% (в том числе коров 25%)</w:t>
      </w:r>
      <w:r>
        <w:rPr>
          <w:rFonts w:ascii="Times New Roman" w:hAnsi="Times New Roman" w:cs="Times New Roman"/>
          <w:sz w:val="24"/>
          <w:szCs w:val="24"/>
        </w:rPr>
        <w:t>. Все предприятия завершили год с прибылью.</w:t>
      </w:r>
    </w:p>
    <w:p>
      <w:pPr>
        <w:spacing w:after="0" w:line="240" w:lineRule="auto"/>
        <w:ind w:firstLine="567"/>
        <w:jc w:val="both"/>
        <w:rPr>
          <w:rFonts w:ascii="Times New Roman" w:hAnsi="Times New Roman" w:cs="Times New Roman"/>
          <w:sz w:val="24"/>
        </w:rPr>
      </w:pPr>
      <w:r>
        <w:rPr>
          <w:rFonts w:ascii="Times New Roman" w:hAnsi="Times New Roman" w:cs="Times New Roman"/>
          <w:sz w:val="24"/>
        </w:rPr>
        <w:t xml:space="preserve">По данным Корткеросского отдела сельского хозяйства ГУ РК «Центр государственной поддержки агропромышленного комплекса и рыбного хозяйства Республики Коми» (далее – Корткеросский отдел сельского хозяйства), в 2025 году в организациях, осуществляющих сельскохозяйственную деятельность, наблюдается рост производства: </w:t>
      </w:r>
    </w:p>
    <w:p>
      <w:pPr>
        <w:spacing w:after="0" w:line="240" w:lineRule="auto"/>
        <w:ind w:firstLine="567"/>
        <w:jc w:val="both"/>
        <w:rPr>
          <w:rFonts w:ascii="Times New Roman" w:hAnsi="Times New Roman" w:cs="Times New Roman"/>
          <w:sz w:val="24"/>
        </w:rPr>
      </w:pPr>
      <w:r>
        <w:rPr>
          <w:rFonts w:ascii="Times New Roman" w:hAnsi="Times New Roman" w:cs="Times New Roman"/>
          <w:sz w:val="24"/>
        </w:rPr>
        <w:t>- молока -  на 1,5% по сравнению с 2024 годом, достигнув 12,5 тыс. тонн;</w:t>
      </w:r>
    </w:p>
    <w:p>
      <w:pPr>
        <w:spacing w:after="0" w:line="240" w:lineRule="auto"/>
        <w:ind w:firstLine="567"/>
        <w:jc w:val="both"/>
        <w:rPr>
          <w:rFonts w:ascii="Times New Roman" w:hAnsi="Times New Roman" w:cs="Times New Roman"/>
          <w:sz w:val="24"/>
        </w:rPr>
      </w:pPr>
      <w:r>
        <w:rPr>
          <w:rFonts w:ascii="Times New Roman" w:hAnsi="Times New Roman" w:cs="Times New Roman"/>
          <w:sz w:val="24"/>
        </w:rPr>
        <w:lastRenderedPageBreak/>
        <w:t>- скота и птицы на убой в живом весе - на 5% (до 302 тонн);</w:t>
      </w:r>
    </w:p>
    <w:p>
      <w:pPr>
        <w:spacing w:after="0" w:line="240" w:lineRule="auto"/>
        <w:ind w:firstLine="567"/>
        <w:jc w:val="both"/>
        <w:rPr>
          <w:rFonts w:ascii="Times New Roman" w:hAnsi="Times New Roman" w:cs="Times New Roman"/>
          <w:sz w:val="24"/>
        </w:rPr>
      </w:pPr>
      <w:r>
        <w:rPr>
          <w:rFonts w:ascii="Times New Roman" w:hAnsi="Times New Roman" w:cs="Times New Roman"/>
          <w:sz w:val="24"/>
        </w:rPr>
        <w:t>- перепелиного яйца – на 13% (до 2259 тыс. шт.), что на 13%больше, чем в 2024 году.</w:t>
      </w:r>
    </w:p>
    <w:p>
      <w:pPr>
        <w:shd w:val="clear" w:color="auto" w:fill="FFFFFF"/>
        <w:spacing w:after="0" w:line="240" w:lineRule="auto"/>
        <w:ind w:firstLine="567"/>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 xml:space="preserve">Поголовье крупного рогатого скота за 2025 год (с учетом </w:t>
      </w:r>
      <w:proofErr w:type="spellStart"/>
      <w:r>
        <w:rPr>
          <w:rFonts w:ascii="Times New Roman" w:eastAsia="Times New Roman" w:hAnsi="Times New Roman" w:cs="Times New Roman"/>
          <w:sz w:val="24"/>
          <w:szCs w:val="24"/>
          <w:lang w:eastAsia="ru-RU"/>
        </w:rPr>
        <w:t>микропредприятий</w:t>
      </w:r>
      <w:proofErr w:type="spellEnd"/>
      <w:r>
        <w:rPr>
          <w:rFonts w:ascii="Times New Roman" w:eastAsia="Times New Roman" w:hAnsi="Times New Roman" w:cs="Times New Roman"/>
          <w:sz w:val="24"/>
          <w:szCs w:val="24"/>
          <w:lang w:eastAsia="ru-RU"/>
        </w:rPr>
        <w:t>) составило 3807 голов, что на 3% выше уровня 2024 г., в том числе поголовье коров- 1917.</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Продуктивность животных в районе превышает среднереспубликанские показатели. Надой молока на одну корову в </w:t>
      </w:r>
      <w:proofErr w:type="spellStart"/>
      <w:r>
        <w:rPr>
          <w:rFonts w:ascii="Times New Roman" w:eastAsia="Times New Roman" w:hAnsi="Times New Roman" w:cs="Times New Roman"/>
          <w:sz w:val="24"/>
          <w:szCs w:val="24"/>
          <w:lang w:eastAsia="ru-RU"/>
        </w:rPr>
        <w:t>сельхозорганизациях</w:t>
      </w:r>
      <w:proofErr w:type="spellEnd"/>
      <w:r>
        <w:rPr>
          <w:rFonts w:ascii="Times New Roman" w:eastAsia="Times New Roman" w:hAnsi="Times New Roman" w:cs="Times New Roman"/>
          <w:sz w:val="24"/>
          <w:szCs w:val="24"/>
          <w:lang w:eastAsia="ru-RU"/>
        </w:rPr>
        <w:t xml:space="preserve"> района в 2025 году составил 6857 кг, что составляет 102% к уровню 2024 года (в среднем по организациям РК 6147 кг). </w:t>
      </w:r>
    </w:p>
    <w:p>
      <w:pPr>
        <w:shd w:val="clear" w:color="auto" w:fill="FFFFFF"/>
        <w:spacing w:after="0" w:line="240" w:lineRule="auto"/>
        <w:ind w:firstLine="567"/>
        <w:jc w:val="both"/>
        <w:rPr>
          <w:rFonts w:ascii="Times New Roman" w:hAnsi="Times New Roman" w:cs="Times New Roman"/>
          <w:sz w:val="24"/>
          <w:szCs w:val="24"/>
          <w:highlight w:val="yellow"/>
        </w:rPr>
      </w:pPr>
      <w:r>
        <w:rPr>
          <w:rFonts w:ascii="Times New Roman" w:hAnsi="Times New Roman" w:cs="Times New Roman"/>
          <w:sz w:val="24"/>
          <w:szCs w:val="24"/>
        </w:rPr>
        <w:t>Объем реализации продукции сельскохозяйственными организациями в 2025 году составил: скота и птицы в живом весе — 3213 центнеров (127,5% к 2024 году), молока — 125 880 центнеров (118,9% к 2024 году).</w:t>
      </w:r>
    </w:p>
    <w:p>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Численность работников, занятых в сельском хозяйстве, составляет 255 человек,</w:t>
      </w:r>
      <w:r>
        <w:rPr>
          <w:rFonts w:ascii="Times New Roman" w:eastAsia="Times New Roman" w:hAnsi="Times New Roman" w:cs="Times New Roman"/>
          <w:sz w:val="24"/>
          <w:szCs w:val="24"/>
          <w:lang w:eastAsia="ru-RU"/>
        </w:rPr>
        <w:t xml:space="preserve"> или 102% от показателя 2024 года. </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муниципальной программы «Развитие экономики», субъектам агропромышленного комплекса оказана финансовая поддержка на общую сумму 3 188,0 тыс. рублей. Финансирование осуществлялось за счет средств республиканского бюджета (1 477,0 тыс. рублей) и бюджета МР «Корткеросский» (1711,0 тыс. рублей, в том числе 1500,0 тыс. рублей - в рамках Соглашения о социально-экономическом сотрудничестве с АО «СЛПК»). Реализация указанных мер способствовала созданию 2 дополнительных рабочих мест.</w:t>
      </w:r>
    </w:p>
    <w:p>
      <w:pPr>
        <w:shd w:val="clear" w:color="auto" w:fill="FFFFFF"/>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ИП Тарасевич Г.Л. получила субсидию в размере 1500,0 тыс. рублей на ремонт </w:t>
      </w:r>
      <w:r>
        <w:rPr>
          <w:rFonts w:ascii="Times New Roman" w:hAnsi="Times New Roman" w:cs="Times New Roman"/>
          <w:bCs/>
          <w:sz w:val="24"/>
          <w:szCs w:val="24"/>
          <w:shd w:val="clear" w:color="auto" w:fill="FFFFFF"/>
        </w:rPr>
        <w:t>и модернизацию помещений площадью 131,4 кв. м. в бывшем здании животноводческой фермы с целью создания современного пункта переработки молока</w:t>
      </w:r>
      <w:r>
        <w:rPr>
          <w:rFonts w:ascii="Times New Roman" w:eastAsia="Times New Roman" w:hAnsi="Times New Roman" w:cs="Times New Roman"/>
          <w:sz w:val="24"/>
          <w:szCs w:val="24"/>
          <w:lang w:eastAsia="ru-RU"/>
        </w:rPr>
        <w:t xml:space="preserve"> в с.Корткерос. </w:t>
      </w:r>
      <w:r>
        <w:rPr>
          <w:rFonts w:ascii="Times New Roman" w:hAnsi="Times New Roman" w:cs="Times New Roman"/>
          <w:bCs/>
          <w:sz w:val="24"/>
          <w:szCs w:val="24"/>
        </w:rPr>
        <w:t>Реализация проекта позволит создать полный цикл производства молочной продукции в Корткеросском районе</w:t>
      </w:r>
      <w:r>
        <w:rPr>
          <w:rFonts w:ascii="Times New Roman" w:hAnsi="Times New Roman" w:cs="Times New Roman"/>
          <w:sz w:val="24"/>
          <w:szCs w:val="24"/>
        </w:rPr>
        <w:t xml:space="preserve">, включающий как переработку молока, так и сбыт готовой продукции.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На начальном этапе планируется производство востребованных сыров, творога, сливочного масла и молочной сыворотки как ценного побочного продукта сыроделия.</w:t>
      </w:r>
      <w:r>
        <w:rPr>
          <w:rFonts w:ascii="Times New Roman" w:hAnsi="Times New Roman" w:cs="Times New Roman"/>
          <w:sz w:val="24"/>
          <w:szCs w:val="24"/>
        </w:rPr>
        <w:t> </w:t>
      </w:r>
      <w:r>
        <w:rPr>
          <w:rFonts w:ascii="Times New Roman" w:hAnsi="Times New Roman" w:cs="Times New Roman"/>
          <w:bCs/>
          <w:sz w:val="24"/>
          <w:szCs w:val="24"/>
        </w:rPr>
        <w:t>По мере освоения технологий, оптимизации производственных процессов и наращивания мощностей ассортимент будет расширен до пяти видов сыра. В 2026 году объёмы производства будут ограничены, что связано с необходимостью отладки технологических процессов, адаптации рецептур и обучения персонала.</w:t>
      </w:r>
      <w:r>
        <w:rPr>
          <w:rFonts w:ascii="Times New Roman" w:hAnsi="Times New Roman" w:cs="Times New Roman"/>
          <w:sz w:val="24"/>
          <w:szCs w:val="24"/>
        </w:rPr>
        <w:t> </w:t>
      </w:r>
      <w:r>
        <w:rPr>
          <w:rFonts w:ascii="Times New Roman" w:hAnsi="Times New Roman" w:cs="Times New Roman"/>
          <w:bCs/>
          <w:sz w:val="24"/>
          <w:szCs w:val="24"/>
        </w:rPr>
        <w:t>В последующие годы планируется планомерное наращивание объёмов производства, расширение ассортимента и выход на полную проектную мощность.</w:t>
      </w:r>
    </w:p>
    <w:p>
      <w:pPr>
        <w:shd w:val="clear" w:color="auto" w:fill="FFFFFF"/>
        <w:spacing w:after="0" w:line="240" w:lineRule="auto"/>
        <w:ind w:firstLine="567"/>
        <w:jc w:val="both"/>
        <w:rPr>
          <w:rFonts w:ascii="Times New Roman" w:hAnsi="Times New Roman"/>
          <w:sz w:val="24"/>
          <w:szCs w:val="24"/>
        </w:rPr>
      </w:pPr>
      <w:r>
        <w:rPr>
          <w:rFonts w:ascii="Times New Roman" w:eastAsia="Times New Roman" w:hAnsi="Times New Roman" w:cs="Times New Roman"/>
          <w:sz w:val="24"/>
          <w:szCs w:val="24"/>
          <w:lang w:eastAsia="ru-RU"/>
        </w:rPr>
        <w:t xml:space="preserve">ИП </w:t>
      </w:r>
      <w:proofErr w:type="spellStart"/>
      <w:r>
        <w:rPr>
          <w:rFonts w:ascii="Times New Roman" w:eastAsia="Times New Roman" w:hAnsi="Times New Roman" w:cs="Times New Roman"/>
          <w:sz w:val="24"/>
          <w:szCs w:val="24"/>
          <w:lang w:eastAsia="ru-RU"/>
        </w:rPr>
        <w:t>Мишариной</w:t>
      </w:r>
      <w:proofErr w:type="spellEnd"/>
      <w:r>
        <w:rPr>
          <w:rFonts w:ascii="Times New Roman" w:eastAsia="Times New Roman" w:hAnsi="Times New Roman" w:cs="Times New Roman"/>
          <w:sz w:val="24"/>
          <w:szCs w:val="24"/>
          <w:lang w:eastAsia="ru-RU"/>
        </w:rPr>
        <w:t xml:space="preserve"> О.И. оказана финансовая поддержка в размере 1 688,0 тыс. рублей в рамках реализации проекта «Народный бюджет» в сфере агропромышленного комплекса по проекту «</w:t>
      </w:r>
      <w:r>
        <w:rPr>
          <w:rFonts w:ascii="Times New Roman" w:hAnsi="Times New Roman" w:cs="Times New Roman"/>
          <w:sz w:val="24"/>
          <w:szCs w:val="28"/>
        </w:rPr>
        <w:t>Модернизация хлебопекарни в с. Нившера</w:t>
      </w:r>
      <w:r>
        <w:rPr>
          <w:rFonts w:ascii="Times New Roman" w:eastAsia="Times New Roman" w:hAnsi="Times New Roman" w:cs="Times New Roman"/>
          <w:sz w:val="24"/>
          <w:szCs w:val="24"/>
          <w:lang w:eastAsia="ru-RU"/>
        </w:rPr>
        <w:t xml:space="preserve">». Общая стоимость проекта составила 2 110,0 тыс. рублей, включающая финансирование из республиканского бюджета Республики Коми (1 477,0 тыс. рублей), бюджета муниципального района «Корткеросский» (211,0 тыс. рублей) и собственных средств предпринимателя (422,0 тыс. рублей).  Благодаря проекту </w:t>
      </w:r>
      <w:r>
        <w:rPr>
          <w:rFonts w:ascii="Times New Roman" w:hAnsi="Times New Roman"/>
          <w:sz w:val="24"/>
          <w:szCs w:val="24"/>
        </w:rPr>
        <w:t>приобретено новое оборудование для хлебопекарни (</w:t>
      </w:r>
      <w:r>
        <w:rPr>
          <w:rFonts w:ascii="Times New Roman" w:hAnsi="Times New Roman" w:cs="Times New Roman"/>
          <w:sz w:val="24"/>
          <w:szCs w:val="24"/>
        </w:rPr>
        <w:t>печь подовая, тестомес, холодильный шкаф, стеллажи, весы, кондиционер, водонагреватель), а также выполнены комплексные ремонтные работы: ремонт русской печи, систем отопления и освещения, полотков, стен и полов, замена дверей, устройство канализации и бурение скважины</w:t>
      </w:r>
      <w:r>
        <w:rPr>
          <w:rFonts w:ascii="Times New Roman" w:hAnsi="Times New Roman"/>
          <w:sz w:val="24"/>
          <w:szCs w:val="24"/>
        </w:rPr>
        <w:t>.</w:t>
      </w:r>
    </w:p>
    <w:p>
      <w:pPr>
        <w:spacing w:after="0" w:line="240" w:lineRule="auto"/>
        <w:ind w:firstLine="567"/>
        <w:jc w:val="both"/>
        <w:rPr>
          <w:rFonts w:ascii="Times New Roman" w:eastAsia="Times New Roman" w:hAnsi="Times New Roman" w:cs="Times New Roman"/>
          <w:sz w:val="24"/>
          <w:szCs w:val="24"/>
          <w:lang w:eastAsia="ru-RU"/>
        </w:rPr>
      </w:pPr>
      <w:r>
        <w:rPr>
          <w:rStyle w:val="ab"/>
          <w:rFonts w:ascii="Times New Roman" w:hAnsi="Times New Roman" w:cs="Times New Roman"/>
          <w:sz w:val="24"/>
          <w:szCs w:val="24"/>
        </w:rPr>
        <w:t xml:space="preserve">В </w:t>
      </w:r>
      <w:r>
        <w:rPr>
          <w:rFonts w:ascii="Times New Roman" w:eastAsia="TimesNewRomanPSMT" w:hAnsi="Times New Roman" w:cs="Times New Roman"/>
          <w:sz w:val="24"/>
          <w:szCs w:val="24"/>
        </w:rPr>
        <w:t xml:space="preserve">2025 году завершена реализация инвестиционного проекта </w:t>
      </w:r>
      <w:r>
        <w:rPr>
          <w:rFonts w:ascii="Times New Roman" w:eastAsia="Times New Roman" w:hAnsi="Times New Roman" w:cs="Times New Roman"/>
          <w:bCs/>
          <w:sz w:val="24"/>
          <w:szCs w:val="24"/>
          <w:lang w:eastAsia="ru-RU"/>
        </w:rPr>
        <w:t>«Сухостойный двор с родильным отделением в д. Выльыб» (СПК «Исток»).</w:t>
      </w:r>
      <w:r>
        <w:rPr>
          <w:rFonts w:ascii="Times New Roman" w:eastAsia="Times New Roman" w:hAnsi="Times New Roman" w:cs="Times New Roman"/>
          <w:sz w:val="24"/>
          <w:szCs w:val="24"/>
          <w:lang w:eastAsia="ru-RU"/>
        </w:rPr>
        <w:t> Общая стоимость проекта составила 99,81 млн руб., в том числе за счет средств предприятия- 38,2 млн руб., государственной поддержки - 37,01 млн руб., бюджета МР «Корткеросский» в рамках реализации муниципальной программы «Развитие экономики» - 2,0 млн руб. Официальное открытие запланировано на 2026 год.</w:t>
      </w:r>
    </w:p>
    <w:p>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Pr>
          <w:rFonts w:ascii="Times New Roman" w:hAnsi="Times New Roman" w:cs="Times New Roman"/>
          <w:sz w:val="24"/>
          <w:szCs w:val="24"/>
        </w:rPr>
        <w:t xml:space="preserve">Также в прошлом году ИП Глава КФХ </w:t>
      </w:r>
      <w:proofErr w:type="spellStart"/>
      <w:r>
        <w:rPr>
          <w:rFonts w:ascii="Times New Roman" w:hAnsi="Times New Roman" w:cs="Times New Roman"/>
          <w:sz w:val="24"/>
          <w:szCs w:val="24"/>
        </w:rPr>
        <w:t>Елькина</w:t>
      </w:r>
      <w:proofErr w:type="spellEnd"/>
      <w:r>
        <w:rPr>
          <w:rFonts w:ascii="Times New Roman" w:hAnsi="Times New Roman" w:cs="Times New Roman"/>
          <w:sz w:val="24"/>
          <w:szCs w:val="24"/>
        </w:rPr>
        <w:t xml:space="preserve"> М.Н., осуществляющая деятельность в сфере разведения сельскохозяйственной птицы (перепелов) </w:t>
      </w:r>
      <w:r>
        <w:rPr>
          <w:rFonts w:ascii="Times New Roman" w:eastAsia="Times New Roman" w:hAnsi="Times New Roman" w:cs="Times New Roman"/>
          <w:color w:val="212529"/>
          <w:sz w:val="24"/>
          <w:szCs w:val="24"/>
          <w:lang w:eastAsia="ru-RU"/>
        </w:rPr>
        <w:t>реализовала проект по расширению мощностей предприятия</w:t>
      </w:r>
      <w:r>
        <w:rPr>
          <w:rFonts w:ascii="Times New Roman" w:hAnsi="Times New Roman" w:cs="Times New Roman"/>
          <w:color w:val="212529"/>
          <w:sz w:val="24"/>
          <w:szCs w:val="24"/>
        </w:rPr>
        <w:t xml:space="preserve">. </w:t>
      </w:r>
      <w:r>
        <w:rPr>
          <w:rFonts w:ascii="Times New Roman" w:hAnsi="Times New Roman" w:cs="Times New Roman"/>
          <w:sz w:val="24"/>
          <w:szCs w:val="24"/>
        </w:rPr>
        <w:t xml:space="preserve"> </w:t>
      </w:r>
      <w:r>
        <w:rPr>
          <w:rFonts w:ascii="Times New Roman" w:eastAsia="Times New Roman" w:hAnsi="Times New Roman" w:cs="Times New Roman"/>
          <w:color w:val="212529"/>
          <w:sz w:val="24"/>
          <w:szCs w:val="24"/>
          <w:lang w:eastAsia="ru-RU"/>
        </w:rPr>
        <w:t>За счет приобретения и ввода в эксплуатацию современного оборудования (батарей для содержания птицы) на сумму </w:t>
      </w:r>
      <w:r>
        <w:rPr>
          <w:rFonts w:ascii="Times New Roman" w:eastAsia="Times New Roman" w:hAnsi="Times New Roman" w:cs="Times New Roman"/>
          <w:bCs/>
          <w:color w:val="212529"/>
          <w:sz w:val="24"/>
          <w:szCs w:val="24"/>
          <w:lang w:eastAsia="ru-RU"/>
        </w:rPr>
        <w:t>3,2 млн рублей</w:t>
      </w:r>
      <w:r>
        <w:rPr>
          <w:rFonts w:ascii="Times New Roman" w:eastAsia="Times New Roman" w:hAnsi="Times New Roman" w:cs="Times New Roman"/>
          <w:color w:val="212529"/>
          <w:sz w:val="24"/>
          <w:szCs w:val="24"/>
          <w:lang w:eastAsia="ru-RU"/>
        </w:rPr>
        <w:t> общее поголовье перепелов на ферме увеличилось с 18000 до </w:t>
      </w:r>
      <w:r>
        <w:rPr>
          <w:rFonts w:ascii="Times New Roman" w:eastAsia="Times New Roman" w:hAnsi="Times New Roman" w:cs="Times New Roman"/>
          <w:bCs/>
          <w:color w:val="212529"/>
          <w:sz w:val="24"/>
          <w:szCs w:val="24"/>
          <w:lang w:eastAsia="ru-RU"/>
        </w:rPr>
        <w:t>19 900 голов</w:t>
      </w:r>
      <w:r>
        <w:rPr>
          <w:rFonts w:ascii="Times New Roman" w:eastAsia="Times New Roman" w:hAnsi="Times New Roman" w:cs="Times New Roman"/>
          <w:color w:val="212529"/>
          <w:sz w:val="24"/>
          <w:szCs w:val="24"/>
          <w:lang w:eastAsia="ru-RU"/>
        </w:rPr>
        <w:t xml:space="preserve">. </w:t>
      </w:r>
      <w:r>
        <w:rPr>
          <w:rFonts w:ascii="Times New Roman" w:eastAsia="Times New Roman" w:hAnsi="Times New Roman" w:cs="Times New Roman"/>
          <w:color w:val="212529"/>
          <w:sz w:val="24"/>
          <w:szCs w:val="24"/>
          <w:lang w:eastAsia="ru-RU"/>
        </w:rPr>
        <w:lastRenderedPageBreak/>
        <w:t xml:space="preserve">Реализация этого проекта стала возможной в том числе благодаря государственной поддержке из республиканского бюджета Республики Коми в размере </w:t>
      </w:r>
      <w:r>
        <w:rPr>
          <w:rFonts w:ascii="Times New Roman" w:eastAsia="Times New Roman" w:hAnsi="Times New Roman" w:cs="Times New Roman"/>
          <w:bCs/>
          <w:color w:val="212529"/>
          <w:sz w:val="24"/>
          <w:szCs w:val="24"/>
          <w:lang w:eastAsia="ru-RU"/>
        </w:rPr>
        <w:t>2 млн рублей</w:t>
      </w:r>
      <w:r>
        <w:rPr>
          <w:rFonts w:ascii="Times New Roman" w:eastAsia="Times New Roman" w:hAnsi="Times New Roman" w:cs="Times New Roman"/>
          <w:color w:val="212529"/>
          <w:sz w:val="24"/>
          <w:szCs w:val="24"/>
          <w:lang w:eastAsia="ru-RU"/>
        </w:rPr>
        <w:t>.</w:t>
      </w:r>
    </w:p>
    <w:p>
      <w:pPr>
        <w:pStyle w:val="aa"/>
        <w:ind w:firstLine="567"/>
        <w:jc w:val="both"/>
        <w:rPr>
          <w:rFonts w:ascii="Times New Roman" w:hAnsi="Times New Roman"/>
          <w:sz w:val="24"/>
          <w:szCs w:val="24"/>
        </w:rPr>
      </w:pPr>
      <w:r>
        <w:rPr>
          <w:rFonts w:ascii="Times New Roman" w:hAnsi="Times New Roman"/>
          <w:sz w:val="24"/>
          <w:szCs w:val="24"/>
        </w:rPr>
        <w:t xml:space="preserve">Еще одним из значимых событий 2025 года стало открытие модульного цеха по производству варенья из лесных ягод в п. Аджером. Проект успешно реализовал ИП </w:t>
      </w:r>
      <w:proofErr w:type="spellStart"/>
      <w:r>
        <w:rPr>
          <w:rFonts w:ascii="Times New Roman" w:hAnsi="Times New Roman"/>
          <w:sz w:val="24"/>
          <w:szCs w:val="24"/>
        </w:rPr>
        <w:t>Габов</w:t>
      </w:r>
      <w:proofErr w:type="spellEnd"/>
      <w:r>
        <w:rPr>
          <w:rFonts w:ascii="Times New Roman" w:hAnsi="Times New Roman"/>
          <w:sz w:val="24"/>
          <w:szCs w:val="24"/>
        </w:rPr>
        <w:t xml:space="preserve"> Алексей Иванович за счет средств гранта «</w:t>
      </w:r>
      <w:proofErr w:type="spellStart"/>
      <w:r>
        <w:rPr>
          <w:rFonts w:ascii="Times New Roman" w:hAnsi="Times New Roman"/>
          <w:sz w:val="24"/>
          <w:szCs w:val="24"/>
        </w:rPr>
        <w:t>Агростартап</w:t>
      </w:r>
      <w:proofErr w:type="spellEnd"/>
      <w:r>
        <w:rPr>
          <w:rFonts w:ascii="Times New Roman" w:hAnsi="Times New Roman"/>
          <w:sz w:val="24"/>
          <w:szCs w:val="24"/>
        </w:rPr>
        <w:t xml:space="preserve">» от Минсельхоза Республики Коми. Общая стоимость проекта 5,168 тыс. руб., в том числе средства республиканского бюджета 4651,0 тыс. </w:t>
      </w:r>
      <w:proofErr w:type="spellStart"/>
      <w:r>
        <w:rPr>
          <w:rFonts w:ascii="Times New Roman" w:hAnsi="Times New Roman"/>
          <w:sz w:val="24"/>
          <w:szCs w:val="24"/>
        </w:rPr>
        <w:t>руб</w:t>
      </w:r>
      <w:proofErr w:type="spellEnd"/>
      <w:r>
        <w:rPr>
          <w:rFonts w:ascii="Times New Roman" w:hAnsi="Times New Roman"/>
          <w:sz w:val="24"/>
          <w:szCs w:val="24"/>
        </w:rPr>
        <w:t xml:space="preserve">, средства предпринимателя – 517,0 тыс. рублей.  Средства </w:t>
      </w:r>
      <w:r>
        <w:rPr>
          <w:rFonts w:ascii="Times New Roman" w:hAnsi="Times New Roman"/>
          <w:sz w:val="24"/>
          <w:szCs w:val="24"/>
          <w:lang w:eastAsia="ru-RU"/>
        </w:rPr>
        <w:t xml:space="preserve">направлены на </w:t>
      </w:r>
      <w:r>
        <w:rPr>
          <w:rFonts w:ascii="Times New Roman" w:hAnsi="Times New Roman"/>
          <w:sz w:val="24"/>
          <w:szCs w:val="24"/>
        </w:rPr>
        <w:t>приобретение модульного цеха для переработки дикоросов на базе реконструированного 40-футого контейнера, выполнение работ по подключению цеха к инженерным коммуникациям. В рамках реализации проекта будет создано 2 рабочих места. К концу 2026 года предприниматель планирует произвести и реализовать почти 3 тонны готовой продукции (варенья).</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Наряду с позитивными тенденциями в развитии агропромышленного комплекса района, в 2025 году были зафиксированы негативные события, связанные с деятельностью   предприятия в сфере хлебопечения. Так, в прошлом году было инициировано банкротство предприятия ПО «Корткерос-2», специализировавшегося на производстве хлеба и хлебобулочных изделий.</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Право владения помещениями хлебопекарен, расположенных в с. Вомын, с. Подъельск, с. Нившера, с. Большелуг, с. Богородск и с. Сторожевск, принадлежит ПО «Корткеросское» (сейчас является</w:t>
      </w:r>
      <w:r>
        <w:rPr>
          <w:rFonts w:ascii="Times New Roman" w:hAnsi="Times New Roman" w:cs="Times New Roman"/>
          <w:b/>
          <w:sz w:val="24"/>
          <w:szCs w:val="24"/>
        </w:rPr>
        <w:t xml:space="preserve"> </w:t>
      </w:r>
      <w:r>
        <w:rPr>
          <w:rStyle w:val="ac"/>
          <w:rFonts w:ascii="Times New Roman" w:hAnsi="Times New Roman" w:cs="Times New Roman"/>
          <w:b w:val="0"/>
          <w:color w:val="000000" w:themeColor="text1"/>
          <w:sz w:val="24"/>
          <w:szCs w:val="24"/>
        </w:rPr>
        <w:t>основным предприятием, входящим в структуру пищевой промышленности района</w:t>
      </w:r>
      <w:r>
        <w:rPr>
          <w:rFonts w:ascii="Times New Roman" w:hAnsi="Times New Roman" w:cs="Times New Roman"/>
          <w:b/>
          <w:sz w:val="24"/>
          <w:szCs w:val="24"/>
        </w:rPr>
        <w:t>).</w:t>
      </w:r>
      <w:r>
        <w:rPr>
          <w:rFonts w:ascii="Times New Roman" w:hAnsi="Times New Roman" w:cs="Times New Roman"/>
          <w:sz w:val="24"/>
          <w:szCs w:val="24"/>
        </w:rPr>
        <w:t> В связи с прекращением деятельности ПО «Корткерос-2» собственник расторг договоры аренды и вернул арендованное имущество. В результате этих событий производство хлеба в районе сократилось: на данный момент у ПО «Корткеросское» работают 4 пекарни (прекратили работу объекты в с. Нившера и с. Сторожевск).</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этом банкротство ПО «Корткерос-2» не привело к перебоям в снабжении населения хлебом. ПО «Корткеросское» сохранило достаточные и стабильные производственные мощности для бесперебойного обеспечения жителей района хлебом и хлебобулочными изделиями.</w:t>
      </w:r>
    </w:p>
    <w:p>
      <w:pPr>
        <w:pStyle w:val="ds-markdown-paragraph"/>
        <w:shd w:val="clear" w:color="auto" w:fill="FFFFFF"/>
        <w:spacing w:before="0" w:beforeAutospacing="0" w:after="0" w:afterAutospacing="0"/>
        <w:ind w:firstLine="567"/>
        <w:jc w:val="both"/>
        <w:rPr>
          <w:b/>
        </w:rPr>
      </w:pPr>
      <w:r>
        <w:rPr>
          <w:rStyle w:val="ac"/>
          <w:b w:val="0"/>
        </w:rPr>
        <w:t>ПО «Корткеросское» прорабатывает вопросы дальнейшего развития хлебопекарных мощностей, включая ремонт производственных помещений и модернизацию оборудования. Так в 2026 году, в целях обеспечения бесперебойных поставок продукции, ПО «Корткеросское» приступит к реализации проекта «Приобретение хлебного автофургона для перевозки хлеба с пекарни с. Вомын», прошедшего отбор в рамках проекта «Народный бюджет» в сфере АПК. Плановая стоимость проекта составляет 3,7 млн рублей, включая финансирование из республиканского бюджета (2,0 млн рублей) и бюджета муниципального района (0,4 млн рублей).</w:t>
      </w:r>
    </w:p>
    <w:p>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Style w:val="ab"/>
          <w:rFonts w:ascii="Times New Roman" w:hAnsi="Times New Roman" w:cs="Times New Roman"/>
          <w:i w:val="0"/>
          <w:sz w:val="24"/>
          <w:szCs w:val="24"/>
        </w:rPr>
        <w:t>Также, в 2026 году</w:t>
      </w:r>
      <w:r>
        <w:rPr>
          <w:rStyle w:val="ab"/>
          <w:rFonts w:ascii="Times New Roman" w:hAnsi="Times New Roman" w:cs="Times New Roman"/>
          <w:sz w:val="24"/>
          <w:szCs w:val="24"/>
        </w:rPr>
        <w:t xml:space="preserve"> </w:t>
      </w:r>
      <w:r>
        <w:rPr>
          <w:rFonts w:ascii="Times New Roman" w:eastAsia="TimesNewRomanPSMT" w:hAnsi="Times New Roman" w:cs="Times New Roman"/>
          <w:sz w:val="24"/>
          <w:szCs w:val="24"/>
        </w:rPr>
        <w:t>завершается реализация инвестиционного проекта «Строительство опорного убойного пункта с цехом по переработке мяса в с.Корткерос» (инициатор – СПССПК «МИЯН»). Общая стоимость проекта 8,3 млн руб., в том числе за счет государственной поддержки 5,0 млн руб. М</w:t>
      </w:r>
      <w:r>
        <w:rPr>
          <w:rFonts w:ascii="Times New Roman" w:eastAsia="Arial" w:hAnsi="Times New Roman" w:cs="Times New Roman"/>
          <w:kern w:val="3"/>
          <w:sz w:val="24"/>
          <w:szCs w:val="24"/>
          <w:lang w:eastAsia="zh-CN" w:bidi="hi-IN"/>
        </w:rPr>
        <w:t xml:space="preserve">ощность убойного пункта составит до 5 голов КРС в сутки. Реализация проекта позволит осуществлять забой крупного рогатого скота в с.Корткерос, снизить затраты </w:t>
      </w:r>
      <w:proofErr w:type="spellStart"/>
      <w:r>
        <w:rPr>
          <w:rFonts w:ascii="Times New Roman" w:eastAsia="Arial" w:hAnsi="Times New Roman" w:cs="Times New Roman"/>
          <w:kern w:val="3"/>
          <w:sz w:val="24"/>
          <w:szCs w:val="24"/>
          <w:lang w:eastAsia="zh-CN" w:bidi="hi-IN"/>
        </w:rPr>
        <w:t>сельхозтоваропроизводителей</w:t>
      </w:r>
      <w:proofErr w:type="spellEnd"/>
      <w:r>
        <w:rPr>
          <w:rFonts w:ascii="Times New Roman" w:eastAsia="Arial" w:hAnsi="Times New Roman" w:cs="Times New Roman"/>
          <w:kern w:val="3"/>
          <w:sz w:val="24"/>
          <w:szCs w:val="24"/>
          <w:lang w:eastAsia="zh-CN" w:bidi="hi-IN"/>
        </w:rPr>
        <w:t xml:space="preserve"> и населения на доставку КРС, создать дополнительные рабочие места и наладить производство мясных полуфабрикатов из говядины. </w:t>
      </w:r>
    </w:p>
    <w:p>
      <w:pPr>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rPr>
        <w:t>На 2026-2027 годы планируется реализация инвестиционного проекта «Строительство коровника с молочным блоком до 320 голов КРС в с. Небдино» (инициатор -ООО «</w:t>
      </w:r>
      <w:proofErr w:type="spellStart"/>
      <w:r>
        <w:rPr>
          <w:rFonts w:ascii="Times New Roman" w:hAnsi="Times New Roman" w:cs="Times New Roman"/>
          <w:sz w:val="24"/>
          <w:szCs w:val="24"/>
        </w:rPr>
        <w:t>Небдинский</w:t>
      </w:r>
      <w:proofErr w:type="spellEnd"/>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 xml:space="preserve">В 2026 году инициатор проекта продолжает разработку проектно-сметной документации по строительству животноводческого помещения.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Вместе с тем, наряду с положительной динамикой, в сфере сельского хозяйства сохраняется ряд системных проблем, сдерживающих дальнейшее развитие отрасли. К основным проблемам АПК относятся: </w:t>
      </w:r>
      <w:r>
        <w:rPr>
          <w:rFonts w:ascii="Times New Roman" w:eastAsia="Times New Roman" w:hAnsi="Times New Roman" w:cs="Times New Roman"/>
          <w:sz w:val="24"/>
          <w:szCs w:val="24"/>
          <w:lang w:eastAsia="ru-RU"/>
        </w:rPr>
        <w:t xml:space="preserve">дефицит квалифицированных специалистов </w:t>
      </w:r>
      <w:r>
        <w:rPr>
          <w:rFonts w:ascii="Times New Roman" w:eastAsia="Times New Roman" w:hAnsi="Times New Roman" w:cs="Times New Roman"/>
          <w:sz w:val="24"/>
          <w:szCs w:val="24"/>
          <w:lang w:eastAsia="ru-RU"/>
        </w:rPr>
        <w:lastRenderedPageBreak/>
        <w:t>(ветеринарных врачей, зоотехников), нехватка рабочих кадров, а также наличие устаревших помещений для содержания сельскохозяйственных животных, требующих модернизации.</w:t>
      </w:r>
    </w:p>
    <w:p>
      <w:pPr>
        <w:spacing w:after="0" w:line="240" w:lineRule="auto"/>
        <w:ind w:firstLine="567"/>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t xml:space="preserve">  </w:t>
      </w: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РАЗВИТИЕ ЛЕСНОЙ ОТРАСЛИ</w:t>
      </w:r>
    </w:p>
    <w:p>
      <w:pPr>
        <w:spacing w:after="0" w:line="240" w:lineRule="auto"/>
        <w:ind w:firstLine="567"/>
        <w:contextualSpacing/>
        <w:jc w:val="center"/>
        <w:rPr>
          <w:rFonts w:ascii="Times New Roman" w:eastAsia="Times New Roman" w:hAnsi="Times New Roman" w:cs="Times New Roman"/>
          <w:b/>
          <w:sz w:val="24"/>
          <w:szCs w:val="24"/>
          <w:highlight w:val="yellow"/>
          <w:lang w:eastAsia="ru-RU"/>
        </w:rPr>
      </w:pP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Лесная отрасль является ключевым сектором экономики Корткеросского района. Обладая значительными лесными ресурсами, район занимает 7-е место среди муниципальных образований Республики Коми по запасам древесины. На долю района приходится 6,1% от общего запаса древесины в республике и 7,3% эксплуатационного лесного фонда, в том числе 6,6% спелых и перестойных лесов.</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площадь земель лесного фонда составляет 1909,9 тыс. га, из которых 1737,2 тыс. га (91%) покрыты лесом. Расчетная лесосека района установлена в объеме 2 645,5 тыс. куб. м. Лесные ресурсы, более чем на 80% представленные хвойными породами, </w:t>
      </w:r>
      <w:r>
        <w:rPr>
          <w:rFonts w:ascii="Times New Roman" w:hAnsi="Times New Roman" w:cs="Times New Roman"/>
          <w:sz w:val="24"/>
          <w:szCs w:val="24"/>
          <w:shd w:val="clear" w:color="auto" w:fill="FFFFFF"/>
        </w:rPr>
        <w:t xml:space="preserve">распределены по трем лесничествам: </w:t>
      </w:r>
      <w:proofErr w:type="spellStart"/>
      <w:r>
        <w:rPr>
          <w:rFonts w:ascii="Times New Roman" w:hAnsi="Times New Roman" w:cs="Times New Roman"/>
          <w:sz w:val="24"/>
          <w:szCs w:val="24"/>
          <w:shd w:val="clear" w:color="auto" w:fill="FFFFFF"/>
        </w:rPr>
        <w:t>Сторожевскому</w:t>
      </w:r>
      <w:proofErr w:type="spellEnd"/>
      <w:r>
        <w:rPr>
          <w:rFonts w:ascii="Times New Roman" w:hAnsi="Times New Roman" w:cs="Times New Roman"/>
          <w:sz w:val="24"/>
          <w:szCs w:val="24"/>
          <w:shd w:val="clear" w:color="auto" w:fill="FFFFFF"/>
        </w:rPr>
        <w:t xml:space="preserve"> (835,9 тыс. га), Корткеросскому (475,9 тыс. га) и </w:t>
      </w:r>
      <w:proofErr w:type="spellStart"/>
      <w:r>
        <w:rPr>
          <w:rFonts w:ascii="Times New Roman" w:hAnsi="Times New Roman" w:cs="Times New Roman"/>
          <w:sz w:val="24"/>
          <w:szCs w:val="24"/>
          <w:shd w:val="clear" w:color="auto" w:fill="FFFFFF"/>
        </w:rPr>
        <w:t>Локчимскому</w:t>
      </w:r>
      <w:proofErr w:type="spellEnd"/>
      <w:r>
        <w:rPr>
          <w:rFonts w:ascii="Times New Roman" w:hAnsi="Times New Roman" w:cs="Times New Roman"/>
          <w:sz w:val="24"/>
          <w:szCs w:val="24"/>
          <w:shd w:val="clear" w:color="auto" w:fill="FFFFFF"/>
        </w:rPr>
        <w:t xml:space="preserve"> (405,87 тыс. га). </w:t>
      </w:r>
      <w:r>
        <w:rPr>
          <w:rFonts w:ascii="Times New Roman" w:eastAsia="Times New Roman" w:hAnsi="Times New Roman" w:cs="Times New Roman"/>
          <w:sz w:val="24"/>
          <w:szCs w:val="24"/>
          <w:lang w:eastAsia="ru-RU"/>
        </w:rPr>
        <w:t>Средний удельный запас древесины формирует надёжную ресурсную базу для лесопиления и создаёт благоприятные условия для дальнейшего развития лесопромышленной деятельности и социально-экономического развития района.</w:t>
      </w:r>
    </w:p>
    <w:p>
      <w:pPr>
        <w:shd w:val="clear" w:color="auto" w:fill="FFFFFF"/>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Лесная промышленность района </w:t>
      </w:r>
      <w:r>
        <w:rPr>
          <w:rFonts w:ascii="Times New Roman" w:hAnsi="Times New Roman" w:cs="Times New Roman"/>
          <w:sz w:val="24"/>
          <w:szCs w:val="24"/>
        </w:rPr>
        <w:t>представлена лесозаготовительной и деревообрабатывающей отраслями. На территории действуют 10 организаций и более 30 индивидуальных предпринимателей, занятых в лесоводстве, лесозаготовках, обработке древесины и производстве деревянных изделий.</w:t>
      </w:r>
    </w:p>
    <w:p>
      <w:pPr>
        <w:shd w:val="clear" w:color="auto" w:fill="FFFFFF"/>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Основной объем заготовки древесины приходится на крупных арендаторов, таких как</w:t>
      </w:r>
      <w:r>
        <w:rPr>
          <w:rFonts w:ascii="Times New Roman" w:hAnsi="Times New Roman" w:cs="Times New Roman"/>
          <w:sz w:val="24"/>
          <w:szCs w:val="24"/>
        </w:rPr>
        <w:t xml:space="preserve"> АО «СЛПК», ИП Попов Н.А., ООО «</w:t>
      </w:r>
      <w:proofErr w:type="spellStart"/>
      <w:r>
        <w:rPr>
          <w:rFonts w:ascii="Times New Roman" w:hAnsi="Times New Roman" w:cs="Times New Roman"/>
          <w:sz w:val="24"/>
          <w:szCs w:val="24"/>
        </w:rPr>
        <w:t>Комилесхолдинг</w:t>
      </w:r>
      <w:proofErr w:type="spellEnd"/>
      <w:r>
        <w:rPr>
          <w:rFonts w:ascii="Times New Roman" w:hAnsi="Times New Roman" w:cs="Times New Roman"/>
          <w:sz w:val="24"/>
          <w:szCs w:val="24"/>
        </w:rPr>
        <w:t>» и ООО «СЛДК». По данным лесхозов, в 2025 году объем заготовки древесины составил 675,0 тыс. куб. м, что на 4,4% (31,3 тыс. куб. м) ниже уровня 2024 года. В целом в сегменте лесозаготовок наблюдается негативная тенденция, объёмы лесозаготовок последовательно снижаются три года подряд: с 2023 по 2025 год падение составило 15,4% (с 797,9 тыс. до 675,0 тыс. куб. м).</w:t>
      </w:r>
    </w:p>
    <w:p>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Снижение объемов заготовки обусловлено совокупностью проблем, сдерживающих развитие лесопромышленного комплекса района: </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  Отсутствие актуального лесоустройства (последнее проводилось в начале 1990-х). Это законодательно блокирует оформление долгосрочной аренды, которая является экономически более выгодной моделью работы по сравнению с ежегодной покупкой разовых делянок;</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2. Завышенные стартовые цены на лесных аукционах, обусловленные в том числе автоматическим включением затрат на искусственное </w:t>
      </w:r>
      <w:proofErr w:type="spellStart"/>
      <w:r>
        <w:rPr>
          <w:rFonts w:ascii="Times New Roman" w:hAnsi="Times New Roman" w:cs="Times New Roman"/>
          <w:sz w:val="24"/>
          <w:szCs w:val="24"/>
          <w:shd w:val="clear" w:color="auto" w:fill="FFFFFF"/>
        </w:rPr>
        <w:t>лесовосстановление</w:t>
      </w:r>
      <w:proofErr w:type="spellEnd"/>
      <w:r>
        <w:rPr>
          <w:rFonts w:ascii="Times New Roman" w:hAnsi="Times New Roman" w:cs="Times New Roman"/>
          <w:sz w:val="24"/>
          <w:szCs w:val="24"/>
          <w:shd w:val="clear" w:color="auto" w:fill="FFFFFF"/>
        </w:rPr>
        <w:t xml:space="preserve"> на участках, где оно биологически не требуется;</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  Рост операционных издержек и сложности, связанный с внедрением и функционированием системы ЕГАИС;</w:t>
      </w:r>
    </w:p>
    <w:p>
      <w:pPr>
        <w:shd w:val="clear" w:color="auto" w:fill="FFFFFF"/>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 Логистические сбои и необходимость перестройки цепочек поставок в изменившихся внешнеэкономических условиях.</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Деревообрабатывающая промышленность, в основном представленная лесопилением (производство бруса, бруска, обрезной доски и прочих пиломатериалов), пока занимает незначительную долю в валовом продукте района. Тем не менее, выпуск высококачественных строганных изделий позволяет местным предприятиям экспортировать продукцию в другие регионы России, а также в Китай, Узбекистан и Иорданию.</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Производственные отходы и древесная щепа используются для отопления производственных помещений и производства </w:t>
      </w:r>
      <w:proofErr w:type="spellStart"/>
      <w:r>
        <w:rPr>
          <w:rFonts w:ascii="Times New Roman" w:eastAsia="Times New Roman" w:hAnsi="Times New Roman" w:cs="Times New Roman"/>
          <w:sz w:val="24"/>
          <w:szCs w:val="24"/>
          <w:lang w:eastAsia="ru-RU"/>
        </w:rPr>
        <w:t>биотоплива</w:t>
      </w:r>
      <w:proofErr w:type="spellEnd"/>
      <w:r>
        <w:rPr>
          <w:rFonts w:ascii="Times New Roman" w:eastAsia="Times New Roman" w:hAnsi="Times New Roman" w:cs="Times New Roman"/>
          <w:sz w:val="24"/>
          <w:szCs w:val="24"/>
          <w:lang w:eastAsia="ru-RU"/>
        </w:rPr>
        <w:t>, востребованного населением.</w:t>
      </w:r>
    </w:p>
    <w:p>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Лесная отрасль формирует основу налогового и экономического потенциала Корткеросского района. Реализация инвестиционных проектов, оказывает значительное социально- экономическое влияние на его развитие. </w:t>
      </w:r>
    </w:p>
    <w:p>
      <w:pPr>
        <w:spacing w:after="0" w:line="240" w:lineRule="auto"/>
        <w:ind w:firstLine="567"/>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lastRenderedPageBreak/>
        <w:t xml:space="preserve">Так, в 2025 году ИП Попов Н.А. завершил реализацию инвестиционного проекта «Строительство цеха по сортировке сухих пиломатериалов». Стоимость проекта составила 105,0 млн руб., из которых 20,0 млн руб. – льготный кредит, предоставленный </w:t>
      </w:r>
      <w:r>
        <w:rPr>
          <w:rFonts w:ascii="Times New Roman" w:hAnsi="Times New Roman" w:cs="Times New Roman"/>
          <w:sz w:val="24"/>
          <w:szCs w:val="24"/>
          <w:shd w:val="clear" w:color="auto" w:fill="FFFFFF"/>
        </w:rPr>
        <w:t xml:space="preserve">Региональным фондом развития промышленности Республики Коми. </w:t>
      </w:r>
      <w:r>
        <w:rPr>
          <w:rFonts w:ascii="Times New Roman" w:eastAsia="Times New Roman" w:hAnsi="Times New Roman" w:cs="Times New Roman"/>
          <w:sz w:val="24"/>
          <w:szCs w:val="24"/>
          <w:lang w:eastAsia="ru-RU"/>
        </w:rPr>
        <w:t>В</w:t>
      </w:r>
      <w:r>
        <w:rPr>
          <w:rFonts w:ascii="Times New Roman" w:hAnsi="Times New Roman" w:cs="Times New Roman"/>
          <w:sz w:val="24"/>
          <w:szCs w:val="24"/>
          <w:shd w:val="clear" w:color="auto" w:fill="FFFFFF"/>
        </w:rPr>
        <w:t xml:space="preserve"> 2026 году предприниматель реализует новый инвестиционный проект - «Обновление материально-технической базы (приобретение </w:t>
      </w:r>
      <w:proofErr w:type="spellStart"/>
      <w:r>
        <w:rPr>
          <w:rFonts w:ascii="Times New Roman" w:hAnsi="Times New Roman" w:cs="Times New Roman"/>
          <w:sz w:val="24"/>
          <w:szCs w:val="24"/>
          <w:shd w:val="clear" w:color="auto" w:fill="FFFFFF"/>
        </w:rPr>
        <w:t>харвестер</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форвайдера</w:t>
      </w:r>
      <w:proofErr w:type="spellEnd"/>
      <w:r>
        <w:rPr>
          <w:rFonts w:ascii="Times New Roman" w:hAnsi="Times New Roman" w:cs="Times New Roman"/>
          <w:sz w:val="24"/>
          <w:szCs w:val="24"/>
          <w:shd w:val="clear" w:color="auto" w:fill="FFFFFF"/>
        </w:rPr>
        <w:t>)». Плановая стоимость проекта составляет 60 млн рублей, при этом 50 млн рублей планируется привлечь в качестве льготного кредита в Региональном фонде развития промышленности Республики Коми.</w:t>
      </w:r>
    </w:p>
    <w:p>
      <w:pPr>
        <w:spacing w:after="0"/>
        <w:ind w:firstLine="567"/>
        <w:jc w:val="both"/>
        <w:rPr>
          <w:rFonts w:ascii="Calibri" w:eastAsia="Calibri" w:hAnsi="Calibri" w:cs="Times New Roman"/>
          <w:szCs w:val="28"/>
          <w:highlight w:val="yellow"/>
          <w:shd w:val="clear" w:color="auto" w:fill="FFFFFF"/>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ОБЕСПЕЧЕНИЕ ГРАЖДАН ТВЁРДЫМ ТОПЛИВОМ ПО РЕГУЛИРУЕМЫМ ПРАВИТЕЛЬСТВОМ РЕСПУБЛИКИ КОМИ ЦЕНАМ</w:t>
      </w:r>
    </w:p>
    <w:p>
      <w:pPr>
        <w:spacing w:after="0" w:line="240" w:lineRule="auto"/>
        <w:ind w:firstLine="567"/>
        <w:contextualSpacing/>
        <w:jc w:val="center"/>
        <w:rPr>
          <w:rFonts w:ascii="Times New Roman" w:eastAsia="Times New Roman" w:hAnsi="Times New Roman" w:cs="Times New Roman"/>
          <w:b/>
          <w:sz w:val="24"/>
          <w:szCs w:val="24"/>
          <w:highlight w:val="yellow"/>
          <w:lang w:eastAsia="ru-RU"/>
        </w:rPr>
      </w:pPr>
    </w:p>
    <w:p>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Начиная с 4-го квартала 2020 года администрацией района организована поставка твердого топлива населению по регулируемы ценам. С 1 января 2021 года выдача справок-расчетов для приобретения твердого топлива производится администрацией в соответствии с утвержденным административным регламентом. </w:t>
      </w:r>
    </w:p>
    <w:p>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 итогам 2025 года администрацией было выдано 703 справки-расчетов (в 2024 году - 515) по определению годовой потребности в твердом топливе гражданам, проживающим в домах с печным отоплением. Общая годовая потребность составила:</w:t>
      </w:r>
    </w:p>
    <w:p>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дрова всех видов – 3599 плот. </w:t>
      </w:r>
      <w:proofErr w:type="spellStart"/>
      <w:r>
        <w:rPr>
          <w:rFonts w:ascii="Times New Roman" w:eastAsia="Times New Roman" w:hAnsi="Times New Roman" w:cs="Times New Roman"/>
          <w:color w:val="000000" w:themeColor="text1"/>
          <w:sz w:val="24"/>
          <w:szCs w:val="24"/>
          <w:lang w:eastAsia="ru-RU"/>
        </w:rPr>
        <w:t>куб.м</w:t>
      </w:r>
      <w:proofErr w:type="spellEnd"/>
      <w:r>
        <w:rPr>
          <w:rFonts w:ascii="Times New Roman" w:eastAsia="Times New Roman" w:hAnsi="Times New Roman" w:cs="Times New Roman"/>
          <w:color w:val="000000" w:themeColor="text1"/>
          <w:sz w:val="24"/>
          <w:szCs w:val="24"/>
          <w:lang w:eastAsia="ru-RU"/>
        </w:rPr>
        <w:t>.;</w:t>
      </w:r>
    </w:p>
    <w:p>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брикеты – 3618 тонн;</w:t>
      </w:r>
    </w:p>
    <w:p>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гранулы – 436 тонн. </w:t>
      </w:r>
    </w:p>
    <w:p>
      <w:pPr>
        <w:shd w:val="clear" w:color="auto" w:fill="FFFFFF"/>
        <w:spacing w:after="0" w:line="240" w:lineRule="auto"/>
        <w:ind w:firstLine="709"/>
        <w:jc w:val="both"/>
        <w:rPr>
          <w:rFonts w:ascii="Arial" w:eastAsia="Times New Roman" w:hAnsi="Arial" w:cs="Arial"/>
          <w:color w:val="000000" w:themeColor="text1"/>
          <w:sz w:val="23"/>
          <w:szCs w:val="23"/>
          <w:lang w:eastAsia="ru-RU"/>
        </w:rPr>
      </w:pPr>
      <w:r>
        <w:rPr>
          <w:rFonts w:ascii="Times New Roman" w:eastAsia="Times New Roman" w:hAnsi="Times New Roman" w:cs="Times New Roman"/>
          <w:color w:val="000000" w:themeColor="text1"/>
          <w:sz w:val="24"/>
          <w:szCs w:val="24"/>
          <w:shd w:val="clear" w:color="auto" w:fill="FFFFFF"/>
          <w:lang w:eastAsia="ru-RU"/>
        </w:rPr>
        <w:t>Твердое топливо по регулируемым ценам приобрели 594 семьи, что составляет 84,4% от общего числа выданных справок-расчетов (в 2024 году — 434 семьи).</w:t>
      </w:r>
    </w:p>
    <w:p>
      <w:pPr>
        <w:shd w:val="clear" w:color="auto" w:fill="FFFFFF"/>
        <w:spacing w:after="0" w:line="240" w:lineRule="auto"/>
        <w:ind w:firstLine="567"/>
        <w:jc w:val="both"/>
        <w:rPr>
          <w:rFonts w:ascii="Arial" w:eastAsia="Times New Roman" w:hAnsi="Arial" w:cs="Arial"/>
          <w:color w:val="000000" w:themeColor="text1"/>
          <w:sz w:val="23"/>
          <w:szCs w:val="23"/>
          <w:lang w:eastAsia="ru-RU"/>
        </w:rPr>
      </w:pPr>
      <w:r>
        <w:rPr>
          <w:rFonts w:ascii="Times New Roman" w:eastAsia="Times New Roman" w:hAnsi="Times New Roman" w:cs="Times New Roman"/>
          <w:color w:val="000000" w:themeColor="text1"/>
          <w:sz w:val="24"/>
          <w:szCs w:val="24"/>
          <w:shd w:val="clear" w:color="auto" w:fill="FFFFFF"/>
          <w:lang w:eastAsia="ru-RU"/>
        </w:rPr>
        <w:t xml:space="preserve">В соответствии с Соглашением от 13.02.2025 г. № 16-Т о предоставлении из республиканского бюджета Республики Коми бюджету муниципального района «Корткеросский» субвенций на возмещение недополученных доходов, возникающих в результате государственного регулирования цен на твердое топливо, используемое для нужд отопления, заключенным между администрацией и Министерством строительства и жилищно-коммунального хозяйства Республики Коми, общий размер субвенций в 2025 году составил 20,9 </w:t>
      </w:r>
      <w:proofErr w:type="spellStart"/>
      <w:r>
        <w:rPr>
          <w:rFonts w:ascii="Times New Roman" w:eastAsia="Times New Roman" w:hAnsi="Times New Roman" w:cs="Times New Roman"/>
          <w:color w:val="000000" w:themeColor="text1"/>
          <w:sz w:val="24"/>
          <w:szCs w:val="24"/>
          <w:shd w:val="clear" w:color="auto" w:fill="FFFFFF"/>
          <w:lang w:eastAsia="ru-RU"/>
        </w:rPr>
        <w:t>млн.рублей</w:t>
      </w:r>
      <w:proofErr w:type="spellEnd"/>
      <w:r>
        <w:rPr>
          <w:rFonts w:ascii="Times New Roman" w:eastAsia="Times New Roman" w:hAnsi="Times New Roman" w:cs="Times New Roman"/>
          <w:color w:val="000000" w:themeColor="text1"/>
          <w:sz w:val="24"/>
          <w:szCs w:val="24"/>
          <w:shd w:val="clear" w:color="auto" w:fill="FFFFFF"/>
          <w:lang w:eastAsia="ru-RU"/>
        </w:rPr>
        <w:t xml:space="preserve">, что на 5,3 </w:t>
      </w:r>
      <w:proofErr w:type="spellStart"/>
      <w:r>
        <w:rPr>
          <w:rFonts w:ascii="Times New Roman" w:eastAsia="Times New Roman" w:hAnsi="Times New Roman" w:cs="Times New Roman"/>
          <w:color w:val="000000" w:themeColor="text1"/>
          <w:sz w:val="24"/>
          <w:szCs w:val="24"/>
          <w:shd w:val="clear" w:color="auto" w:fill="FFFFFF"/>
          <w:lang w:eastAsia="ru-RU"/>
        </w:rPr>
        <w:t>млн.рублей</w:t>
      </w:r>
      <w:proofErr w:type="spellEnd"/>
      <w:r>
        <w:rPr>
          <w:rFonts w:ascii="Times New Roman" w:eastAsia="Times New Roman" w:hAnsi="Times New Roman" w:cs="Times New Roman"/>
          <w:color w:val="000000" w:themeColor="text1"/>
          <w:sz w:val="24"/>
          <w:szCs w:val="24"/>
          <w:shd w:val="clear" w:color="auto" w:fill="FFFFFF"/>
          <w:lang w:eastAsia="ru-RU"/>
        </w:rPr>
        <w:t xml:space="preserve"> превышает объем субвенций 2024 года. По состоянию на 1 января 2026г. субвенция освоена на 100%.</w:t>
      </w:r>
    </w:p>
    <w:p>
      <w:pPr>
        <w:shd w:val="clear" w:color="auto" w:fill="FFFFFF"/>
        <w:spacing w:after="0" w:line="240" w:lineRule="auto"/>
        <w:ind w:firstLine="567"/>
        <w:jc w:val="both"/>
        <w:rPr>
          <w:rFonts w:ascii="Arial" w:eastAsia="Times New Roman" w:hAnsi="Arial" w:cs="Arial"/>
          <w:color w:val="000000" w:themeColor="text1"/>
          <w:sz w:val="23"/>
          <w:szCs w:val="23"/>
          <w:lang w:eastAsia="ru-RU"/>
        </w:rPr>
      </w:pPr>
      <w:r>
        <w:rPr>
          <w:rFonts w:ascii="Times New Roman" w:eastAsia="Times New Roman" w:hAnsi="Times New Roman" w:cs="Times New Roman"/>
          <w:color w:val="000000" w:themeColor="text1"/>
          <w:sz w:val="24"/>
          <w:szCs w:val="24"/>
          <w:shd w:val="clear" w:color="auto" w:fill="FFFFFF"/>
          <w:lang w:eastAsia="ru-RU"/>
        </w:rPr>
        <w:t>Администрацией проведена работа по установлению единой экономически обоснованной цены на твердое топливо (дрова всех видов) на территории района и привлечению местных предпринимателей к обеспечению населения района твердым топливом (дровами) по регулируемым ценам, в том числе в отдаленных и малочисленных населенных пунктах. Благодаря установлению единой цены были заключены соглашения с тремя индивидуальными предпринимателями Корткеросского района и обеспечена доставка твердого топлива в населенные пункты района.</w:t>
      </w:r>
    </w:p>
    <w:p>
      <w:pPr>
        <w:shd w:val="clear" w:color="auto" w:fill="FFFFFF"/>
        <w:spacing w:after="0" w:line="240" w:lineRule="auto"/>
        <w:ind w:firstLine="567"/>
        <w:jc w:val="both"/>
        <w:rPr>
          <w:rFonts w:ascii="Arial" w:eastAsia="Times New Roman" w:hAnsi="Arial" w:cs="Arial"/>
          <w:color w:val="000000" w:themeColor="text1"/>
          <w:sz w:val="23"/>
          <w:szCs w:val="23"/>
          <w:lang w:eastAsia="ru-RU"/>
        </w:rPr>
      </w:pPr>
      <w:r>
        <w:rPr>
          <w:rFonts w:ascii="Times New Roman" w:eastAsia="Times New Roman" w:hAnsi="Times New Roman" w:cs="Times New Roman"/>
          <w:color w:val="000000" w:themeColor="text1"/>
          <w:sz w:val="24"/>
          <w:szCs w:val="24"/>
          <w:shd w:val="clear" w:color="auto" w:fill="FFFFFF"/>
          <w:lang w:eastAsia="ru-RU"/>
        </w:rPr>
        <w:t>В 2025 году заключены восемь соглашений о возмещении недополученных доходов, связанных с государственным регулированием цен на твердое топливо, со следующими поставщиками:</w:t>
      </w:r>
    </w:p>
    <w:p>
      <w:pPr>
        <w:numPr>
          <w:ilvl w:val="0"/>
          <w:numId w:val="18"/>
        </w:numPr>
        <w:shd w:val="clear" w:color="auto" w:fill="FFFFFF"/>
        <w:tabs>
          <w:tab w:val="clear" w:pos="720"/>
        </w:tabs>
        <w:spacing w:after="0" w:line="240" w:lineRule="auto"/>
        <w:ind w:left="0" w:firstLine="567"/>
        <w:jc w:val="both"/>
        <w:rPr>
          <w:rFonts w:ascii="Arial" w:eastAsia="Times New Roman" w:hAnsi="Arial" w:cs="Arial"/>
          <w:color w:val="000000" w:themeColor="text1"/>
          <w:sz w:val="23"/>
          <w:szCs w:val="23"/>
          <w:lang w:eastAsia="ru-RU"/>
        </w:rPr>
      </w:pPr>
      <w:r>
        <w:rPr>
          <w:rFonts w:ascii="Times New Roman" w:eastAsia="Times New Roman" w:hAnsi="Times New Roman" w:cs="Times New Roman"/>
          <w:color w:val="000000" w:themeColor="text1"/>
          <w:sz w:val="24"/>
          <w:szCs w:val="24"/>
          <w:shd w:val="clear" w:color="auto" w:fill="FFFFFF"/>
          <w:lang w:eastAsia="ru-RU"/>
        </w:rPr>
        <w:t> на поставку топливных брикетов и гранул: ООО «ЭНЕРГОТРАСТ11», ООО «</w:t>
      </w:r>
      <w:proofErr w:type="spellStart"/>
      <w:r>
        <w:rPr>
          <w:rFonts w:ascii="Times New Roman" w:eastAsia="Times New Roman" w:hAnsi="Times New Roman" w:cs="Times New Roman"/>
          <w:color w:val="000000" w:themeColor="text1"/>
          <w:sz w:val="24"/>
          <w:szCs w:val="24"/>
          <w:shd w:val="clear" w:color="auto" w:fill="FFFFFF"/>
          <w:lang w:eastAsia="ru-RU"/>
        </w:rPr>
        <w:t>Био</w:t>
      </w:r>
      <w:proofErr w:type="spellEnd"/>
      <w:r>
        <w:rPr>
          <w:rFonts w:ascii="Times New Roman" w:eastAsia="Times New Roman" w:hAnsi="Times New Roman" w:cs="Times New Roman"/>
          <w:color w:val="000000" w:themeColor="text1"/>
          <w:sz w:val="24"/>
          <w:szCs w:val="24"/>
          <w:shd w:val="clear" w:color="auto" w:fill="FFFFFF"/>
          <w:lang w:eastAsia="ru-RU"/>
        </w:rPr>
        <w:t> Ресурс»;</w:t>
      </w:r>
    </w:p>
    <w:p>
      <w:pPr>
        <w:numPr>
          <w:ilvl w:val="0"/>
          <w:numId w:val="18"/>
        </w:numPr>
        <w:shd w:val="clear" w:color="auto" w:fill="FFFFFF"/>
        <w:tabs>
          <w:tab w:val="clear" w:pos="720"/>
        </w:tabs>
        <w:spacing w:after="0" w:line="240" w:lineRule="auto"/>
        <w:ind w:left="0" w:firstLine="567"/>
        <w:jc w:val="both"/>
        <w:rPr>
          <w:rFonts w:ascii="Arial" w:eastAsia="Times New Roman" w:hAnsi="Arial" w:cs="Arial"/>
          <w:color w:val="000000" w:themeColor="text1"/>
          <w:sz w:val="23"/>
          <w:szCs w:val="23"/>
          <w:lang w:eastAsia="ru-RU"/>
        </w:rPr>
      </w:pPr>
      <w:r>
        <w:rPr>
          <w:rFonts w:ascii="Times New Roman" w:eastAsia="Times New Roman" w:hAnsi="Times New Roman" w:cs="Times New Roman"/>
          <w:color w:val="000000" w:themeColor="text1"/>
          <w:sz w:val="24"/>
          <w:szCs w:val="24"/>
          <w:shd w:val="clear" w:color="auto" w:fill="FFFFFF"/>
          <w:lang w:eastAsia="ru-RU"/>
        </w:rPr>
        <w:t xml:space="preserve"> на поставку дров – ИП Солодовник Н.П., ИП Фалалеев Ю.В., ООО «Тепло севера», ИП </w:t>
      </w:r>
      <w:proofErr w:type="spellStart"/>
      <w:r>
        <w:rPr>
          <w:rFonts w:ascii="Times New Roman" w:eastAsia="Times New Roman" w:hAnsi="Times New Roman" w:cs="Times New Roman"/>
          <w:color w:val="000000" w:themeColor="text1"/>
          <w:sz w:val="24"/>
          <w:szCs w:val="24"/>
          <w:shd w:val="clear" w:color="auto" w:fill="FFFFFF"/>
          <w:lang w:eastAsia="ru-RU"/>
        </w:rPr>
        <w:t>Глок</w:t>
      </w:r>
      <w:proofErr w:type="spellEnd"/>
      <w:r>
        <w:rPr>
          <w:rFonts w:ascii="Times New Roman" w:eastAsia="Times New Roman" w:hAnsi="Times New Roman" w:cs="Times New Roman"/>
          <w:color w:val="000000" w:themeColor="text1"/>
          <w:sz w:val="24"/>
          <w:szCs w:val="24"/>
          <w:shd w:val="clear" w:color="auto" w:fill="FFFFFF"/>
          <w:lang w:eastAsia="ru-RU"/>
        </w:rPr>
        <w:t xml:space="preserve"> Г.В., ИП Карпов А.В. и ИП </w:t>
      </w:r>
      <w:proofErr w:type="spellStart"/>
      <w:r>
        <w:rPr>
          <w:rFonts w:ascii="Times New Roman" w:eastAsia="Times New Roman" w:hAnsi="Times New Roman" w:cs="Times New Roman"/>
          <w:color w:val="000000" w:themeColor="text1"/>
          <w:sz w:val="24"/>
          <w:szCs w:val="24"/>
          <w:shd w:val="clear" w:color="auto" w:fill="FFFFFF"/>
          <w:lang w:eastAsia="ru-RU"/>
        </w:rPr>
        <w:t>Зюзев</w:t>
      </w:r>
      <w:proofErr w:type="spellEnd"/>
      <w:r>
        <w:rPr>
          <w:rFonts w:ascii="Times New Roman" w:eastAsia="Times New Roman" w:hAnsi="Times New Roman" w:cs="Times New Roman"/>
          <w:color w:val="000000" w:themeColor="text1"/>
          <w:sz w:val="24"/>
          <w:szCs w:val="24"/>
          <w:shd w:val="clear" w:color="auto" w:fill="FFFFFF"/>
          <w:lang w:eastAsia="ru-RU"/>
        </w:rPr>
        <w:t xml:space="preserve"> В.С.</w:t>
      </w:r>
    </w:p>
    <w:p>
      <w:pPr>
        <w:tabs>
          <w:tab w:val="left" w:pos="851"/>
        </w:tabs>
        <w:spacing w:after="0" w:line="240" w:lineRule="auto"/>
        <w:ind w:firstLine="567"/>
        <w:jc w:val="both"/>
        <w:rPr>
          <w:rFonts w:ascii="Times New Roman" w:hAnsi="Times New Roman" w:cs="Times New Roman"/>
          <w:sz w:val="24"/>
          <w:szCs w:val="24"/>
          <w:shd w:val="clear" w:color="auto" w:fill="FFFFFF"/>
        </w:rPr>
      </w:pPr>
      <w:r>
        <w:rPr>
          <w:rFonts w:ascii="Calibri" w:eastAsia="Times New Roman" w:hAnsi="Calibri" w:cs="Arial"/>
          <w:color w:val="000000" w:themeColor="text1"/>
          <w:lang w:eastAsia="ru-RU"/>
        </w:rPr>
        <w:t> </w:t>
      </w:r>
      <w:r>
        <w:rPr>
          <w:rFonts w:ascii="Times New Roman" w:eastAsia="Times New Roman" w:hAnsi="Times New Roman" w:cs="Times New Roman"/>
          <w:color w:val="000000" w:themeColor="text1"/>
          <w:sz w:val="24"/>
          <w:szCs w:val="24"/>
          <w:shd w:val="clear" w:color="auto" w:fill="FFFFFF"/>
          <w:lang w:eastAsia="ru-RU"/>
        </w:rPr>
        <w:t>На 2026 год для Корткеросского района выделена субсидия в размере 13,8 млн рублей</w:t>
      </w:r>
      <w:r>
        <w:rPr>
          <w:rFonts w:ascii="Times New Roman" w:hAnsi="Times New Roman" w:cs="Times New Roman"/>
          <w:sz w:val="24"/>
          <w:szCs w:val="24"/>
          <w:shd w:val="clear" w:color="auto" w:fill="FFFFFF"/>
        </w:rPr>
        <w:t>.</w:t>
      </w:r>
    </w:p>
    <w:p>
      <w:pPr>
        <w:tabs>
          <w:tab w:val="left" w:pos="851"/>
        </w:tabs>
        <w:spacing w:after="0" w:line="240" w:lineRule="auto"/>
        <w:ind w:firstLine="567"/>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ИНВЕСТИЦИОННАЯ ДЕЯТЕЛЬНОСТЬ</w:t>
      </w:r>
    </w:p>
    <w:p>
      <w:pPr>
        <w:tabs>
          <w:tab w:val="left" w:pos="851"/>
        </w:tabs>
        <w:spacing w:after="0" w:line="240" w:lineRule="auto"/>
        <w:ind w:firstLine="567"/>
        <w:jc w:val="center"/>
        <w:rPr>
          <w:rFonts w:ascii="Times New Roman" w:hAnsi="Times New Roman" w:cs="Times New Roman"/>
          <w:b/>
          <w:sz w:val="24"/>
          <w:szCs w:val="24"/>
          <w:highlight w:val="yellow"/>
          <w:shd w:val="clear" w:color="auto" w:fill="FFFFFF"/>
        </w:rPr>
      </w:pP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методическими рекомендациями, утвержденными приказом Минэкономразвития России от 26.09.2023 г. № 672 и в целях повышения инвестиционного и экономического потенциала муниципального района «Корткеросский» в 2024 году </w:t>
      </w:r>
      <w:r>
        <w:rPr>
          <w:rFonts w:ascii="Times New Roman" w:hAnsi="Times New Roman" w:cs="Times New Roman"/>
          <w:sz w:val="24"/>
          <w:szCs w:val="24"/>
        </w:rPr>
        <w:lastRenderedPageBreak/>
        <w:t xml:space="preserve">проведена работа по внедрению муниципального инвестиционного стандарта в МО МР «Корткеросский», принята вся необходимая нормативная база (в том числе Регламент сопровождения инвестиционных проектов).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Объем инвестиций в основной капитал за 2025 г. (без субъектов малого предпринимательства) составил 825,7 млн руб., или увеличился на 85 % к 2024 г. Это обусловлено привлечением собственных средств предприятий и бюджетных средств. Так, за счет привлечения федеральных и республиканских средств на реализацию мероприятий по модернизации школьных систем образования, инвестиции в основной капитал организаций за счёт бюджетных средств в 2025 году составили 491,3 млн. рублей или увеличились в 3,1 раза по сравнению с прошлым годом. За счет собственных средств организаций (без учета субъектов малого предпринимательства) объем инвестиций составил 333,0 млн. рублей или увеличился на 33,1 %. </w:t>
      </w:r>
    </w:p>
    <w:p>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Постановлением администрации муниципального района «Корткеросский» от 05.09.2024 г. № 1145 утверждены </w:t>
      </w:r>
      <w:r>
        <w:rPr>
          <w:rFonts w:ascii="Times New Roman" w:hAnsi="Times New Roman" w:cs="Times New Roman"/>
          <w:bCs/>
          <w:sz w:val="24"/>
          <w:szCs w:val="24"/>
        </w:rPr>
        <w:t xml:space="preserve">ключевые показатели эффективности деятельности Главы муниципального района «Корткеросский» - руководителя администрации и инвестиционного уполномоченного в муниципальном районе «Корткеросский» в сфере инвестиционной деятельности и утверждены их плановые показатели: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Количество инвестиционных проектов, реализованных на территории муниципального района «Корткеросский» в течение трех лет, предшествующих текущему году - 1 единица;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Объем инвестиций в основной капитал (за исключением бюджетных средств) в текущему году, в расчете на 1 жителя - 10000 рублей.</w:t>
      </w:r>
    </w:p>
    <w:p>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Плановый показатель «Количество инвестиционных проектов, реализованных на территории муниципального района «Корткеросский» в течение трех лет, предшествующих текущему году» перевыполнен в 8 раз. Так, за последние 3 года (2023-2025 г.г.) на территории района реализовано 8 инвестиционных проекта – это:</w:t>
      </w:r>
    </w:p>
    <w:p>
      <w:pPr>
        <w:pStyle w:val="25"/>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«Цех по производству и складированию комбикормов». Инициатор проекта- ООО «</w:t>
      </w:r>
      <w:proofErr w:type="spellStart"/>
      <w:r>
        <w:rPr>
          <w:rFonts w:ascii="Times New Roman" w:hAnsi="Times New Roman" w:cs="Times New Roman"/>
          <w:sz w:val="24"/>
          <w:szCs w:val="24"/>
        </w:rPr>
        <w:t>Небдинский</w:t>
      </w:r>
      <w:proofErr w:type="spellEnd"/>
      <w:r>
        <w:rPr>
          <w:rFonts w:ascii="Times New Roman" w:hAnsi="Times New Roman" w:cs="Times New Roman"/>
          <w:sz w:val="24"/>
          <w:szCs w:val="24"/>
        </w:rPr>
        <w:t>». (</w:t>
      </w:r>
      <w:r>
        <w:rPr>
          <w:rFonts w:ascii="Times New Roman" w:hAnsi="Times New Roman" w:cs="Times New Roman"/>
          <w:bCs/>
          <w:sz w:val="24"/>
          <w:szCs w:val="24"/>
        </w:rPr>
        <w:t xml:space="preserve">год реализации - </w:t>
      </w:r>
      <w:r>
        <w:rPr>
          <w:rFonts w:ascii="Times New Roman" w:hAnsi="Times New Roman" w:cs="Times New Roman"/>
          <w:sz w:val="24"/>
          <w:szCs w:val="24"/>
        </w:rPr>
        <w:t>2023г.);</w:t>
      </w:r>
    </w:p>
    <w:p>
      <w:pPr>
        <w:pStyle w:val="25"/>
        <w:spacing w:after="0" w:line="240" w:lineRule="auto"/>
        <w:ind w:firstLine="567"/>
        <w:jc w:val="both"/>
        <w:rPr>
          <w:rFonts w:ascii="Times New Roman" w:eastAsia="TimesNewRomanPSMT" w:hAnsi="Times New Roman" w:cs="Times New Roman"/>
          <w:sz w:val="24"/>
          <w:szCs w:val="24"/>
        </w:rPr>
      </w:pPr>
      <w:r>
        <w:rPr>
          <w:rFonts w:ascii="Times New Roman" w:hAnsi="Times New Roman" w:cs="Times New Roman"/>
          <w:sz w:val="24"/>
          <w:szCs w:val="24"/>
        </w:rPr>
        <w:t xml:space="preserve">- </w:t>
      </w:r>
      <w:r>
        <w:rPr>
          <w:rFonts w:ascii="Times New Roman" w:eastAsia="TimesNewRomanPSMT" w:hAnsi="Times New Roman" w:cs="Times New Roman"/>
          <w:sz w:val="24"/>
          <w:szCs w:val="24"/>
        </w:rPr>
        <w:t>«Модернизация производственной базы в с.Корткерос, путем приобретения и установки сушильных камер», инициатор проекта – ИП Созинов Д.В. (г</w:t>
      </w:r>
      <w:r>
        <w:rPr>
          <w:rFonts w:ascii="Times New Roman" w:hAnsi="Times New Roman" w:cs="Times New Roman"/>
          <w:bCs/>
          <w:sz w:val="24"/>
          <w:szCs w:val="24"/>
        </w:rPr>
        <w:t xml:space="preserve">од реализации - </w:t>
      </w:r>
      <w:r>
        <w:rPr>
          <w:rFonts w:ascii="Times New Roman" w:eastAsia="TimesNewRomanPSMT" w:hAnsi="Times New Roman" w:cs="Times New Roman"/>
          <w:sz w:val="24"/>
          <w:szCs w:val="24"/>
        </w:rPr>
        <w:t>2023 г.);</w:t>
      </w:r>
    </w:p>
    <w:p>
      <w:pPr>
        <w:pStyle w:val="25"/>
        <w:spacing w:after="0" w:line="240" w:lineRule="auto"/>
        <w:ind w:firstLine="567"/>
        <w:jc w:val="both"/>
        <w:rPr>
          <w:rFonts w:ascii="Times New Roman" w:hAnsi="Times New Roman" w:cs="Times New Roman"/>
          <w:color w:val="000000"/>
          <w:sz w:val="24"/>
          <w:szCs w:val="24"/>
        </w:rPr>
      </w:pPr>
      <w:r>
        <w:rPr>
          <w:rFonts w:ascii="Times New Roman" w:eastAsia="TimesNewRomanPSMT" w:hAnsi="Times New Roman" w:cs="Times New Roman"/>
          <w:sz w:val="24"/>
          <w:szCs w:val="24"/>
        </w:rPr>
        <w:t>- «Ц</w:t>
      </w:r>
      <w:r>
        <w:rPr>
          <w:rFonts w:ascii="Times New Roman" w:hAnsi="Times New Roman" w:cs="Times New Roman"/>
          <w:color w:val="000000"/>
          <w:sz w:val="24"/>
          <w:szCs w:val="24"/>
        </w:rPr>
        <w:t>ех по пилению леса мелкого диаметра», стоимостью порядка 100,0 млн. руб. инициатор - ИП Попов Н.А. (</w:t>
      </w:r>
      <w:r>
        <w:rPr>
          <w:rFonts w:ascii="Times New Roman" w:hAnsi="Times New Roman" w:cs="Times New Roman"/>
          <w:bCs/>
          <w:sz w:val="24"/>
          <w:szCs w:val="24"/>
        </w:rPr>
        <w:t xml:space="preserve">год реализации - </w:t>
      </w:r>
      <w:r>
        <w:rPr>
          <w:rFonts w:ascii="Times New Roman" w:hAnsi="Times New Roman" w:cs="Times New Roman"/>
          <w:color w:val="000000"/>
          <w:sz w:val="24"/>
          <w:szCs w:val="24"/>
        </w:rPr>
        <w:t>2023 год);</w:t>
      </w:r>
    </w:p>
    <w:p>
      <w:pPr>
        <w:pStyle w:val="25"/>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«Телятник на 150 голов в с. Нившера Корткеросского района Республики Коми», инициатор - ООО «Нившера» (год реализации - 2024 год).</w:t>
      </w:r>
    </w:p>
    <w:p>
      <w:pPr>
        <w:spacing w:after="0" w:line="240" w:lineRule="auto"/>
        <w:ind w:firstLine="505"/>
        <w:jc w:val="both"/>
        <w:rPr>
          <w:rFonts w:ascii="Times New Roman" w:hAnsi="Times New Roman" w:cs="Times New Roman"/>
          <w:sz w:val="24"/>
          <w:szCs w:val="24"/>
        </w:rPr>
      </w:pPr>
      <w:r>
        <w:rPr>
          <w:bCs/>
        </w:rPr>
        <w:t>- «</w:t>
      </w:r>
      <w:r>
        <w:rPr>
          <w:rFonts w:ascii="Times New Roman" w:hAnsi="Times New Roman" w:cs="Times New Roman"/>
          <w:sz w:val="24"/>
          <w:szCs w:val="24"/>
        </w:rPr>
        <w:t xml:space="preserve">Цех по сортировке сухих пиломатериалов в с.Корткерос», инициатор ИП Попов Н.А. </w:t>
      </w:r>
      <w:r>
        <w:rPr>
          <w:rFonts w:ascii="Times New Roman" w:hAnsi="Times New Roman" w:cs="Times New Roman"/>
          <w:bCs/>
          <w:sz w:val="24"/>
          <w:szCs w:val="24"/>
        </w:rPr>
        <w:t>(год реализации - 2025 год)</w:t>
      </w:r>
      <w:r>
        <w:rPr>
          <w:rFonts w:ascii="Times New Roman" w:hAnsi="Times New Roman" w:cs="Times New Roman"/>
          <w:sz w:val="24"/>
          <w:szCs w:val="24"/>
        </w:rPr>
        <w:t>;</w:t>
      </w:r>
    </w:p>
    <w:p>
      <w:pPr>
        <w:spacing w:after="0" w:line="240" w:lineRule="auto"/>
        <w:ind w:firstLine="505"/>
        <w:jc w:val="both"/>
        <w:rPr>
          <w:rFonts w:ascii="Times New Roman" w:hAnsi="Times New Roman" w:cs="Times New Roman"/>
          <w:sz w:val="24"/>
          <w:szCs w:val="24"/>
        </w:rPr>
      </w:pPr>
      <w:r>
        <w:rPr>
          <w:rFonts w:ascii="Times New Roman" w:hAnsi="Times New Roman" w:cs="Times New Roman"/>
          <w:sz w:val="24"/>
          <w:szCs w:val="24"/>
        </w:rPr>
        <w:t xml:space="preserve">- «Сухостойный двор с родильным отделением в </w:t>
      </w:r>
      <w:proofErr w:type="spellStart"/>
      <w:r>
        <w:rPr>
          <w:rFonts w:ascii="Times New Roman" w:hAnsi="Times New Roman" w:cs="Times New Roman"/>
          <w:sz w:val="24"/>
          <w:szCs w:val="24"/>
        </w:rPr>
        <w:t>д.Выльыб</w:t>
      </w:r>
      <w:proofErr w:type="spellEnd"/>
      <w:r>
        <w:rPr>
          <w:rFonts w:ascii="Times New Roman" w:hAnsi="Times New Roman" w:cs="Times New Roman"/>
          <w:sz w:val="24"/>
          <w:szCs w:val="24"/>
        </w:rPr>
        <w:t>», инициатор- СПК «Исток»</w:t>
      </w:r>
      <w:r>
        <w:rPr>
          <w:rFonts w:ascii="Times New Roman" w:hAnsi="Times New Roman" w:cs="Times New Roman"/>
          <w:bCs/>
          <w:sz w:val="24"/>
          <w:szCs w:val="24"/>
        </w:rPr>
        <w:t xml:space="preserve"> (год реализации - 2025 год)</w:t>
      </w:r>
      <w:r>
        <w:rPr>
          <w:rFonts w:ascii="Times New Roman" w:hAnsi="Times New Roman" w:cs="Times New Roman"/>
          <w:sz w:val="24"/>
          <w:szCs w:val="24"/>
        </w:rPr>
        <w:t>.</w:t>
      </w:r>
    </w:p>
    <w:p>
      <w:pPr>
        <w:spacing w:after="0" w:line="240" w:lineRule="auto"/>
        <w:ind w:firstLine="505"/>
        <w:jc w:val="both"/>
        <w:rPr>
          <w:rFonts w:ascii="Times New Roman" w:hAnsi="Times New Roman" w:cs="Times New Roman"/>
          <w:sz w:val="24"/>
          <w:szCs w:val="24"/>
        </w:rPr>
      </w:pPr>
      <w:r>
        <w:rPr>
          <w:rFonts w:ascii="Times New Roman" w:hAnsi="Times New Roman" w:cs="Times New Roman"/>
          <w:sz w:val="24"/>
          <w:szCs w:val="24"/>
        </w:rPr>
        <w:t xml:space="preserve">- «Организация производства по выпуску консервированных продуктов (варенье) в п. Аджером», инициатор - ИП </w:t>
      </w:r>
      <w:proofErr w:type="spellStart"/>
      <w:r>
        <w:rPr>
          <w:rFonts w:ascii="Times New Roman" w:hAnsi="Times New Roman" w:cs="Times New Roman"/>
          <w:sz w:val="24"/>
          <w:szCs w:val="24"/>
        </w:rPr>
        <w:t>Габов</w:t>
      </w:r>
      <w:proofErr w:type="spellEnd"/>
      <w:r>
        <w:rPr>
          <w:rFonts w:ascii="Times New Roman" w:hAnsi="Times New Roman" w:cs="Times New Roman"/>
          <w:sz w:val="24"/>
          <w:szCs w:val="24"/>
        </w:rPr>
        <w:t xml:space="preserve"> А.И. </w:t>
      </w:r>
      <w:r>
        <w:rPr>
          <w:rFonts w:ascii="Times New Roman" w:hAnsi="Times New Roman" w:cs="Times New Roman"/>
          <w:bCs/>
          <w:sz w:val="24"/>
          <w:szCs w:val="24"/>
        </w:rPr>
        <w:t>(год реализации - 2025 год)</w:t>
      </w:r>
      <w:r>
        <w:rPr>
          <w:rFonts w:ascii="Times New Roman" w:hAnsi="Times New Roman" w:cs="Times New Roman"/>
          <w:sz w:val="24"/>
          <w:szCs w:val="24"/>
        </w:rPr>
        <w:t>.</w:t>
      </w:r>
    </w:p>
    <w:p>
      <w:pPr>
        <w:spacing w:after="0" w:line="240" w:lineRule="auto"/>
        <w:ind w:firstLine="505"/>
        <w:jc w:val="both"/>
        <w:rPr>
          <w:bCs/>
          <w:sz w:val="24"/>
          <w:szCs w:val="24"/>
        </w:rPr>
      </w:pPr>
      <w:r>
        <w:rPr>
          <w:rFonts w:ascii="Times New Roman" w:hAnsi="Times New Roman" w:cs="Times New Roman"/>
          <w:sz w:val="24"/>
          <w:szCs w:val="24"/>
        </w:rPr>
        <w:t xml:space="preserve">- «Увеличение поголовья перепелов до 19900 единиц в с.Корткерос», инициатор - ИП </w:t>
      </w:r>
      <w:proofErr w:type="spellStart"/>
      <w:r>
        <w:rPr>
          <w:rFonts w:ascii="Times New Roman" w:hAnsi="Times New Roman" w:cs="Times New Roman"/>
          <w:sz w:val="24"/>
          <w:szCs w:val="24"/>
        </w:rPr>
        <w:t>Елькина</w:t>
      </w:r>
      <w:proofErr w:type="spellEnd"/>
      <w:r>
        <w:rPr>
          <w:rFonts w:ascii="Times New Roman" w:hAnsi="Times New Roman" w:cs="Times New Roman"/>
          <w:sz w:val="24"/>
          <w:szCs w:val="24"/>
        </w:rPr>
        <w:t xml:space="preserve"> М.Н. </w:t>
      </w:r>
      <w:r>
        <w:rPr>
          <w:rFonts w:ascii="Times New Roman" w:hAnsi="Times New Roman" w:cs="Times New Roman"/>
          <w:bCs/>
          <w:sz w:val="24"/>
          <w:szCs w:val="24"/>
        </w:rPr>
        <w:t>(год реализации - 2025 год)</w:t>
      </w:r>
      <w:r>
        <w:rPr>
          <w:rFonts w:ascii="Times New Roman" w:hAnsi="Times New Roman" w:cs="Times New Roman"/>
          <w:sz w:val="24"/>
          <w:szCs w:val="24"/>
        </w:rPr>
        <w:t>.</w:t>
      </w:r>
    </w:p>
    <w:p>
      <w:pPr>
        <w:pStyle w:val="25"/>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Все запланированные к реализации инвестиционные проекты в 2025 году выполнены.</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Произвести расчет показателя «Объем инвестиций в основной капитал (за исключением бюджетных средств) в текущему году, в расчете на 1 жителя в 2025 году» не представляется возможным, в связи с отсутствием статистических данных о средней численности населения по итогам 2025 года.  Показатель считается выполненным условно.</w:t>
      </w:r>
    </w:p>
    <w:p>
      <w:pPr>
        <w:spacing w:after="0" w:line="240" w:lineRule="auto"/>
        <w:ind w:firstLine="567"/>
        <w:jc w:val="both"/>
        <w:rPr>
          <w:rFonts w:ascii="Times New Roman" w:hAnsi="Times New Roman" w:cs="Times New Roman"/>
          <w:bCs/>
          <w:i/>
          <w:sz w:val="24"/>
          <w:szCs w:val="24"/>
        </w:rPr>
      </w:pPr>
      <w:r>
        <w:rPr>
          <w:rStyle w:val="ab"/>
          <w:rFonts w:ascii="Times New Roman" w:eastAsia="Times New Roman" w:hAnsi="Times New Roman" w:cs="Times New Roman"/>
          <w:i w:val="0"/>
          <w:sz w:val="24"/>
          <w:szCs w:val="24"/>
        </w:rPr>
        <w:t>Таким образом, плановые показатели в сфере инвестиционной деятельности в 2025 году достигнуты</w:t>
      </w:r>
      <w:r>
        <w:rPr>
          <w:rFonts w:ascii="Times New Roman" w:hAnsi="Times New Roman" w:cs="Times New Roman"/>
          <w:i/>
          <w:sz w:val="24"/>
          <w:szCs w:val="24"/>
        </w:rPr>
        <w:t xml:space="preserve">. </w:t>
      </w:r>
    </w:p>
    <w:p>
      <w:pPr>
        <w:ind w:firstLine="567"/>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p>
    <w:p>
      <w:pPr>
        <w:spacing w:after="0" w:line="240" w:lineRule="auto"/>
        <w:contextualSpacing/>
        <w:jc w:val="center"/>
        <w:rPr>
          <w:rFonts w:ascii="Times New Roman" w:eastAsia="Times New Roman" w:hAnsi="Times New Roman" w:cs="Times New Roman"/>
          <w:b/>
          <w:sz w:val="24"/>
          <w:szCs w:val="24"/>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ОБРАЗОВАНИЕ</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2025 году сеть образовательных организаций включала в себя:</w:t>
      </w:r>
    </w:p>
    <w:p>
      <w:pPr>
        <w:numPr>
          <w:ilvl w:val="0"/>
          <w:numId w:val="2"/>
        </w:numPr>
        <w:spacing w:after="0" w:line="240" w:lineRule="auto"/>
        <w:ind w:left="426"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18 дошкольных образовательных учреждений, в том числе 9 являются структурными подразделениями при общеобразовательных организациях; </w:t>
      </w:r>
    </w:p>
    <w:p>
      <w:pPr>
        <w:numPr>
          <w:ilvl w:val="0"/>
          <w:numId w:val="2"/>
        </w:numPr>
        <w:spacing w:after="0" w:line="240" w:lineRule="auto"/>
        <w:ind w:left="426"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15 муниципальных общеобразовательных учреждений; </w:t>
      </w:r>
    </w:p>
    <w:p>
      <w:pPr>
        <w:widowControl w:val="0"/>
        <w:numPr>
          <w:ilvl w:val="0"/>
          <w:numId w:val="2"/>
        </w:numPr>
        <w:snapToGrid w:val="0"/>
        <w:spacing w:after="0" w:line="240" w:lineRule="auto"/>
        <w:ind w:left="42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 учреждение дополнительного образования.</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численность воспитанников в дошкольных организациях составила - 746 человека (2024 г. – 804, 2023 г. – 807, 2022 г. – 866, 2021 г. – 999 человек, 2020 г. - 867 человек), обучающихся по образовательным программам общего образования – 1836 чел. (2024 г. – 1903 чел., 2023 г. – 1958 чел., 2022 г. – 1982 чел., 2021 г. – 2020 человек, 2020 г. – 2061 человек). Услугами дополнительного образования в 2025 году было охвачено 1837 человек (2024- 1999 человек, 2023 г. – 2076 человек, 2022 г. – 2310 человек). Уменьшение охвата связано с общим снижением количества детей в муниципалитете в возрасте от 5 до 18 лет).</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ind w:firstLine="567"/>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Дошкольное образование</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Доступность дошкольного образования по состоянию на 01 января 2025 года составила для детей от 3 лет до 7 лет – 100%. Все нуждающиеся дети в возрасте от 2-х месяцев до 7 лет обеспечены местами в дошкольных образовательных организациях. Очередность на получение путевки в детский сад (отложенный спрос) в 2025 году отсутствовала. Этот результат был достигнут при помощи реализации Указа Президента Российской Федерации от 07 мая 2015 № 599 и Указ Президента Российской Федерации от 07 мая 2018 № 204 «О национальных целях и стратегических задачах развития Российской Федерации на период до 2024 года».</w:t>
      </w:r>
    </w:p>
    <w:p>
      <w:pPr>
        <w:spacing w:after="0" w:line="240" w:lineRule="auto"/>
        <w:ind w:firstLine="567"/>
        <w:contextualSpacing/>
        <w:jc w:val="both"/>
        <w:rPr>
          <w:rFonts w:ascii="Times New Roman" w:hAnsi="Times New Roman" w:cs="Times New Roman"/>
          <w:color w:val="333333"/>
          <w:sz w:val="24"/>
          <w:szCs w:val="24"/>
          <w:shd w:val="clear" w:color="auto" w:fill="FFFFFF"/>
        </w:rPr>
      </w:pPr>
      <w:r>
        <w:rPr>
          <w:rFonts w:ascii="Times New Roman" w:eastAsia="Times New Roman" w:hAnsi="Times New Roman" w:cs="Times New Roman"/>
          <w:sz w:val="24"/>
          <w:szCs w:val="24"/>
          <w:lang w:eastAsia="ru-RU"/>
        </w:rPr>
        <w:t xml:space="preserve">Детские сады Корткеросского района укомплектованы в соответствии с   </w:t>
      </w:r>
      <w:r>
        <w:rPr>
          <w:rFonts w:ascii="Times New Roman" w:hAnsi="Times New Roman" w:cs="Times New Roman"/>
          <w:bCs/>
          <w:color w:val="333333"/>
          <w:sz w:val="24"/>
          <w:szCs w:val="24"/>
          <w:shd w:val="clear" w:color="auto" w:fill="FFFFFF"/>
        </w:rPr>
        <w:t>Требования</w:t>
      </w:r>
      <w:r>
        <w:rPr>
          <w:rFonts w:ascii="Times New Roman" w:hAnsi="Times New Roman" w:cs="Times New Roman"/>
          <w:color w:val="333333"/>
          <w:sz w:val="24"/>
          <w:szCs w:val="24"/>
          <w:shd w:val="clear" w:color="auto" w:fill="FFFFFF"/>
        </w:rPr>
        <w:t> </w:t>
      </w:r>
      <w:r>
        <w:rPr>
          <w:rFonts w:ascii="Times New Roman" w:hAnsi="Times New Roman" w:cs="Times New Roman"/>
          <w:bCs/>
          <w:color w:val="333333"/>
          <w:sz w:val="24"/>
          <w:szCs w:val="24"/>
          <w:shd w:val="clear" w:color="auto" w:fill="FFFFFF"/>
        </w:rPr>
        <w:t>ФГОС</w:t>
      </w:r>
      <w:r>
        <w:rPr>
          <w:rFonts w:ascii="Times New Roman" w:hAnsi="Times New Roman" w:cs="Times New Roman"/>
          <w:color w:val="333333"/>
          <w:sz w:val="24"/>
          <w:szCs w:val="24"/>
          <w:shd w:val="clear" w:color="auto" w:fill="FFFFFF"/>
        </w:rPr>
        <w:t> ДО.</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bCs/>
          <w:color w:val="333333"/>
          <w:sz w:val="24"/>
          <w:szCs w:val="24"/>
          <w:shd w:val="clear" w:color="auto" w:fill="FFFFFF"/>
        </w:rPr>
        <w:t>Образовательная</w:t>
      </w:r>
      <w:r>
        <w:rPr>
          <w:rFonts w:ascii="Times New Roman" w:hAnsi="Times New Roman" w:cs="Times New Roman"/>
          <w:color w:val="333333"/>
          <w:sz w:val="24"/>
          <w:szCs w:val="24"/>
          <w:shd w:val="clear" w:color="auto" w:fill="FFFFFF"/>
        </w:rPr>
        <w:t> </w:t>
      </w:r>
      <w:r>
        <w:rPr>
          <w:rFonts w:ascii="Times New Roman" w:hAnsi="Times New Roman" w:cs="Times New Roman"/>
          <w:bCs/>
          <w:color w:val="333333"/>
          <w:sz w:val="24"/>
          <w:szCs w:val="24"/>
          <w:shd w:val="clear" w:color="auto" w:fill="FFFFFF"/>
        </w:rPr>
        <w:t>среда</w:t>
      </w:r>
      <w:r>
        <w:rPr>
          <w:rFonts w:ascii="Times New Roman" w:hAnsi="Times New Roman" w:cs="Times New Roman"/>
          <w:color w:val="333333"/>
          <w:sz w:val="24"/>
          <w:szCs w:val="24"/>
          <w:shd w:val="clear" w:color="auto" w:fill="FFFFFF"/>
        </w:rPr>
        <w:t> в детских садах обеспечивает условия, необходимые для полноценного проживания ребенком </w:t>
      </w:r>
      <w:r>
        <w:rPr>
          <w:rFonts w:ascii="Times New Roman" w:hAnsi="Times New Roman" w:cs="Times New Roman"/>
          <w:bCs/>
          <w:color w:val="333333"/>
          <w:sz w:val="24"/>
          <w:szCs w:val="24"/>
          <w:shd w:val="clear" w:color="auto" w:fill="FFFFFF"/>
        </w:rPr>
        <w:t>дошкольного</w:t>
      </w:r>
      <w:r>
        <w:rPr>
          <w:rFonts w:ascii="Times New Roman" w:hAnsi="Times New Roman" w:cs="Times New Roman"/>
          <w:color w:val="333333"/>
          <w:sz w:val="24"/>
          <w:szCs w:val="24"/>
          <w:shd w:val="clear" w:color="auto" w:fill="FFFFFF"/>
        </w:rPr>
        <w:t> детства,</w:t>
      </w:r>
      <w:r>
        <w:rPr>
          <w:rFonts w:ascii="Times New Roman" w:eastAsia="Times New Roman" w:hAnsi="Times New Roman" w:cs="Times New Roman"/>
          <w:sz w:val="24"/>
          <w:szCs w:val="24"/>
          <w:lang w:eastAsia="ru-RU"/>
        </w:rPr>
        <w:t xml:space="preserve"> что позволяет в полной мере обеспечить реализацию федерального государственного образовательного стандарта дошкольного образования.</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дошкольных образовательных организациях занято трудовой деятельностью 187 человек, из них 61 человек – это педагогические работники (в 2024 году 65 педагогический работник). В 2025 году на одного педагогического работника приходилось 12,2 воспитанника, что на 1 человека меньше, чем в 2024 году. Уменьшение показателя связано с уменьшением контингента воспитанников в дошкольных образовательных организациях. </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 xml:space="preserve">Среднемесячная заработная плата педагогических работников дошкольных образовательных организаций в 2025 году </w:t>
      </w:r>
      <w:r>
        <w:rPr>
          <w:rFonts w:ascii="Times New Roman" w:eastAsia="Times New Roman" w:hAnsi="Times New Roman" w:cs="Times New Roman"/>
          <w:color w:val="000000"/>
          <w:sz w:val="24"/>
          <w:szCs w:val="24"/>
          <w:lang w:eastAsia="ru-RU"/>
        </w:rPr>
        <w:t xml:space="preserve">составила </w:t>
      </w:r>
      <w:r>
        <w:rPr>
          <w:rFonts w:ascii="Times New Roman" w:eastAsia="Times New Roman" w:hAnsi="Times New Roman" w:cs="Times New Roman"/>
          <w:sz w:val="24"/>
          <w:szCs w:val="24"/>
          <w:lang w:eastAsia="ru-RU"/>
        </w:rPr>
        <w:t xml:space="preserve">45601 рубля (в 2024 г. – 49590 рубля, 2023 г. - 43542 рубля). Уменьшение </w:t>
      </w:r>
      <w:r>
        <w:rPr>
          <w:rFonts w:ascii="Times New Roman" w:hAnsi="Times New Roman" w:cs="Times New Roman"/>
          <w:sz w:val="24"/>
          <w:szCs w:val="24"/>
        </w:rPr>
        <w:t>средней заработной платы связано с недостаточностью средств субвенции на образовательный процесс и обеспечение заработной платы прочего персонала не ниже МРОТ.</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здания ДОУ находятся в работоспособном состоянии, но вместе с тем, 4 здания дошкольных образовательных организаций нуждаются в капитальном ремонте.</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целом состояние системы дошкольного образования, результаты, достигнутые на сегодняшний день, свидетельствуют о готовности системы к обновлению содержания образования и созданию современной инфраструктуры. В целом хочется отметить, что в последние годы в развитии дошкольного образования района отмечаются позитивные тенденции: </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повышается доступность дошкольного образования для детей;</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 каждым годом растет охват детей дошкольным образованием;</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доля педагогических кадров системы дошкольного образования, имеющих высокий уровень образования и квалификации, сохраняется на уровне прошлого года (42%). Педагогов, принявших участие в конкурсах профессионального мастерства -12 человек.</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Одной из основных нерешенных проблем является недостаточное финансирование, которое не позволяет решить вопросы создания современной образовательной среды во всех дошкольных организациях.</w:t>
      </w:r>
    </w:p>
    <w:p>
      <w:pPr>
        <w:spacing w:after="0" w:line="240" w:lineRule="auto"/>
        <w:ind w:firstLine="567"/>
        <w:contextualSpacing/>
        <w:jc w:val="both"/>
        <w:rPr>
          <w:rFonts w:ascii="Times New Roman" w:eastAsia="Times New Roman" w:hAnsi="Times New Roman" w:cs="Times New Roman"/>
          <w:sz w:val="24"/>
          <w:szCs w:val="24"/>
          <w:lang w:eastAsia="ru-RU"/>
        </w:rPr>
      </w:pPr>
    </w:p>
    <w:p>
      <w:pPr>
        <w:spacing w:after="0" w:line="240" w:lineRule="auto"/>
        <w:ind w:firstLine="567"/>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Общее образование</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школах района созданы все условия для организации образовательного процесса, соответствующие федеральным требованиям к образовательным организациям в части минимальной оснащенности учебного процесса и оборудования учебных помещений. Во всех общеобразовательных учреждениях, реализующих новые стандарты, организована внеурочная деятельность.</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2025 году 38,9% обучающихся 9-х классов по завершении государственной итоговой аттестации по образовательным программам основного общего образования продолжили обучение на уровне среднего общего образования в муниципальных общеобразовательных организациях, что выше уровня 2024 года на 1 %.</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15 общеобразовательных организаций 11 имеют статус малокомплектных образовательных организаций, в связи с этим наполняемость классов в школах района – низкая.</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со ст. 40 ФЗ «Об образовании в Российской Федерации» организован подвоз в 11 образовательных организациях, для 426 обучающихся (100% нуждающихся в подвозе) на школьных автобусах, оснащенных современными техническими средствами по 22 школьным маршрутам. Все маршруты обследованы и согласованы с ОГИБДД без замечаний. Перевозку детей осуществляют 16 школьных автобусов. </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соглашения </w:t>
      </w:r>
      <w:r>
        <w:rPr>
          <w:rFonts w:ascii="Times New Roman" w:hAnsi="Times New Roman" w:cs="Times New Roman"/>
          <w:sz w:val="24"/>
          <w:szCs w:val="24"/>
          <w:lang w:eastAsia="ru-RU"/>
        </w:rPr>
        <w:t xml:space="preserve">между Министерством промышленности и торговли Российской Федерации и Министерством образования и науки Республики Коми </w:t>
      </w:r>
      <w:r>
        <w:rPr>
          <w:rFonts w:ascii="Times New Roman" w:eastAsia="Times New Roman" w:hAnsi="Times New Roman" w:cs="Times New Roman"/>
          <w:sz w:val="24"/>
          <w:szCs w:val="24"/>
          <w:lang w:eastAsia="ru-RU"/>
        </w:rPr>
        <w:t xml:space="preserve">в 2025 году обновился автопарк школьных автобусов в количестве 2 единиц для школ МОУ «СОШ» с. Корткерос и МОУ «Сторожевская СОШ» им. А.М. Захаренко. </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организации подвоза детей-инвалидов с нарушением опорно-двигательного аппарата в МОУ «СОШ» с. Корткерос передан автотранспорт «Лада-</w:t>
      </w:r>
      <w:proofErr w:type="spellStart"/>
      <w:r>
        <w:rPr>
          <w:rFonts w:ascii="Times New Roman" w:eastAsia="Times New Roman" w:hAnsi="Times New Roman" w:cs="Times New Roman"/>
          <w:sz w:val="24"/>
          <w:szCs w:val="24"/>
          <w:lang w:eastAsia="ru-RU"/>
        </w:rPr>
        <w:t>Ларгус</w:t>
      </w:r>
      <w:proofErr w:type="spellEnd"/>
      <w:r>
        <w:rPr>
          <w:rFonts w:ascii="Times New Roman" w:eastAsia="Times New Roman" w:hAnsi="Times New Roman" w:cs="Times New Roman"/>
          <w:sz w:val="24"/>
          <w:szCs w:val="24"/>
          <w:lang w:eastAsia="ru-RU"/>
        </w:rPr>
        <w:t>».</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Образовательный процесс во всех школах, кроме МОУ «СОШ» с. Корткерос, осуществлялся в 1 смену (76,7% детей обучаются в первую смену, в связи с капитальным ремонтом количество детей, обучающихся во вторую смену увеличилось по сравнению с 2024 годом).</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Продолжается целенаправленная работа по развитию кадрового ресурса системы образования района. В общеобразовательных организациях занято трудовой деятельностью 589 человек, из них 256 человек (43%) – это педагогические работники. Основной состав педагогического сообщества района имеет педагогический стаж более 20 лет – 152 человека (59%). Число молодых педагогов со стажем до 3 лет – 16 человек, что составляет 6 %, в 2024 году – 9 %. Численность учащихся в расчете на 1 педагогического работника составила 7,2 человек, что ниже показателя 2024 года на 0,2%.</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Одной из проблем кадрового обеспечения муниципальной системы образования является старение педагогических кадров и нехватка учителей ряда специальностей (учителей английского языка, математики,</w:t>
      </w:r>
      <w:r>
        <w:rPr>
          <w:rFonts w:ascii="Times New Roman" w:eastAsia="Calibri" w:hAnsi="Times New Roman" w:cs="Times New Roman"/>
          <w:sz w:val="20"/>
          <w:szCs w:val="20"/>
        </w:rPr>
        <w:t xml:space="preserve"> </w:t>
      </w:r>
      <w:r>
        <w:rPr>
          <w:rFonts w:ascii="Times New Roman" w:eastAsia="Calibri" w:hAnsi="Times New Roman" w:cs="Times New Roman"/>
          <w:sz w:val="24"/>
          <w:szCs w:val="24"/>
        </w:rPr>
        <w:t>русского языка и литературы, истории и обществознания,</w:t>
      </w:r>
      <w:r>
        <w:rPr>
          <w:rFonts w:ascii="Times New Roman" w:eastAsia="Calibri" w:hAnsi="Times New Roman" w:cs="Times New Roman"/>
          <w:sz w:val="20"/>
          <w:szCs w:val="20"/>
        </w:rPr>
        <w:t xml:space="preserve"> </w:t>
      </w:r>
      <w:r>
        <w:rPr>
          <w:rFonts w:ascii="Times New Roman" w:eastAsia="Calibri" w:hAnsi="Times New Roman" w:cs="Times New Roman"/>
          <w:sz w:val="24"/>
          <w:szCs w:val="24"/>
        </w:rPr>
        <w:t>физической культуры, ОБЗР</w:t>
      </w:r>
      <w:r>
        <w:rPr>
          <w:rFonts w:ascii="Times New Roman" w:eastAsia="Times New Roman" w:hAnsi="Times New Roman" w:cs="Times New Roman"/>
          <w:sz w:val="24"/>
          <w:szCs w:val="24"/>
          <w:lang w:eastAsia="ru-RU"/>
        </w:rPr>
        <w:t xml:space="preserve">). Как правило, к началу года вакансии закрываются, однако происходит это зачастую не за счет притока молодых специалистов, а путем перераспределения часов между работающими педагогами, привлечение педагогов совместителей и пенсионеров. </w:t>
      </w:r>
    </w:p>
    <w:p>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 xml:space="preserve">Для привлечения молодых специалистов нами принимаются следующие меры: проводится работа с Центром занятости </w:t>
      </w:r>
      <w:r>
        <w:rPr>
          <w:rFonts w:ascii="Times New Roman" w:eastAsia="Times New Roman" w:hAnsi="Times New Roman" w:cs="Times New Roman"/>
          <w:sz w:val="24"/>
          <w:szCs w:val="24"/>
          <w:lang w:eastAsia="ru-RU"/>
        </w:rPr>
        <w:t xml:space="preserve">населения, участие в ярмарках вакансий, проведение </w:t>
      </w:r>
      <w:proofErr w:type="spellStart"/>
      <w:r>
        <w:rPr>
          <w:rFonts w:ascii="Times New Roman" w:eastAsia="Times New Roman" w:hAnsi="Times New Roman" w:cs="Times New Roman"/>
          <w:sz w:val="24"/>
          <w:szCs w:val="24"/>
          <w:lang w:eastAsia="ru-RU"/>
        </w:rPr>
        <w:t>профориентационной</w:t>
      </w:r>
      <w:proofErr w:type="spellEnd"/>
      <w:r>
        <w:rPr>
          <w:rFonts w:ascii="Times New Roman" w:eastAsia="Times New Roman" w:hAnsi="Times New Roman" w:cs="Times New Roman"/>
          <w:sz w:val="24"/>
          <w:szCs w:val="24"/>
          <w:lang w:eastAsia="ru-RU"/>
        </w:rPr>
        <w:t xml:space="preserve"> работы с несовершеннолетними, сотрудничество с учебными заведениями Республики Коми, информирование населения об имеющихся вакансиях путем размещения требующихся кадров на сайтах Управления образования и сайтах учреждений, </w:t>
      </w:r>
      <w:r>
        <w:rPr>
          <w:rFonts w:ascii="Times New Roman" w:hAnsi="Times New Roman" w:cs="Times New Roman"/>
          <w:sz w:val="24"/>
          <w:szCs w:val="24"/>
        </w:rPr>
        <w:t>на портале «Работа в России»,</w:t>
      </w:r>
      <w:r>
        <w:rPr>
          <w:sz w:val="28"/>
          <w:szCs w:val="28"/>
        </w:rPr>
        <w:t xml:space="preserve"> </w:t>
      </w:r>
      <w:r>
        <w:rPr>
          <w:rFonts w:ascii="Times New Roman" w:eastAsia="Times New Roman" w:hAnsi="Times New Roman" w:cs="Times New Roman"/>
          <w:sz w:val="24"/>
          <w:szCs w:val="24"/>
          <w:lang w:eastAsia="ru-RU"/>
        </w:rPr>
        <w:t xml:space="preserve">выезды в образовательные организации. Также руководителями образовательных организаций проводится работа в целях </w:t>
      </w:r>
      <w:r>
        <w:rPr>
          <w:rFonts w:ascii="Times New Roman" w:eastAsia="Times New Roman" w:hAnsi="Times New Roman" w:cs="Times New Roman"/>
          <w:sz w:val="24"/>
          <w:szCs w:val="24"/>
          <w:lang w:eastAsia="ru-RU"/>
        </w:rPr>
        <w:lastRenderedPageBreak/>
        <w:t>заключения договоров о целевом обучении. Размещаются заявки и предложения на портале «Работа в России» в целях привлечения абитуриентов на имеющиеся вакансии или вакансии, которые планируются в предстоящие 5 лет. Молодым специалистам предоставляются следующие меры поддержки: возмещение коммунальных расходов ежемесячно в сумме 2500 рубля, доплаты молодым педагогам, проживающим на селе, в размере до 30%, начисление «северных» надбавок для специалистов, приехавших из-за пределов республики.</w:t>
      </w:r>
    </w:p>
    <w:p>
      <w:pPr>
        <w:spacing w:after="0" w:line="240" w:lineRule="auto"/>
        <w:ind w:firstLine="709"/>
        <w:jc w:val="both"/>
        <w:rPr>
          <w:rFonts w:ascii="Times New Roman" w:eastAsia="Times New Roman" w:hAnsi="Times New Roman" w:cs="Times New Roman"/>
          <w:sz w:val="24"/>
          <w:szCs w:val="24"/>
          <w:lang w:eastAsia="ru-RU"/>
        </w:rPr>
      </w:pPr>
    </w:p>
    <w:p>
      <w:pPr>
        <w:spacing w:after="0" w:line="240" w:lineRule="auto"/>
        <w:ind w:firstLine="567"/>
        <w:contextualSpacing/>
        <w:jc w:val="both"/>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 xml:space="preserve">Среднемесячная заработная плата педагогических работников в общеобразовательных организациях в 2025 году </w:t>
      </w:r>
      <w:r>
        <w:rPr>
          <w:rFonts w:ascii="Times New Roman" w:eastAsia="Times New Roman" w:hAnsi="Times New Roman" w:cs="Times New Roman"/>
          <w:color w:val="000000"/>
          <w:sz w:val="24"/>
          <w:szCs w:val="24"/>
          <w:lang w:eastAsia="ru-RU"/>
        </w:rPr>
        <w:t>составила 61954 рублей (2024 г. – 63580 рублей, 2023 г. – 53935 рублей).</w:t>
      </w:r>
      <w:r>
        <w:rPr>
          <w:rFonts w:ascii="Times New Roman" w:eastAsia="Times New Roman" w:hAnsi="Times New Roman" w:cs="Times New Roman"/>
          <w:sz w:val="24"/>
          <w:szCs w:val="24"/>
          <w:lang w:eastAsia="ru-RU"/>
        </w:rPr>
        <w:t xml:space="preserve"> Уменьшение </w:t>
      </w:r>
      <w:r>
        <w:rPr>
          <w:rFonts w:ascii="Times New Roman" w:hAnsi="Times New Roman" w:cs="Times New Roman"/>
          <w:sz w:val="24"/>
          <w:szCs w:val="24"/>
        </w:rPr>
        <w:t>средней заработной платы связано с нехваткой средств субвенции на образовательный процесс и обеспечение заработной платы прочего персонала не ниже МРОТ.</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ind w:firstLine="567"/>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Дополнительное образование</w:t>
      </w:r>
    </w:p>
    <w:p>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На территории района функционирует одна организация дополнительного образования - «Районный центр дополнительного образования» с. Корткерос, в котором обучается 578 детей. Кроме того, программы дополнительного образования также реализуются на базе 14 школ, кроме школы п. Намск, и на базе двух дошкольных учреждений: МДОУ «Детский сад №1» с. Корткерос 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МДОУ «Детский сад №2» с. Корткерос. Охват программами дополнительного образования по школам и двум дошкольным учреждениям на 01 января 2026 составил 1837 детей.</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Центре дополнительного образования занято трудовой деятельностью 31 человека, из них 17 человек (55%) — это педагогические работники (не считая директора, заместителя директора, заведующего отделом молодежных инициатив и руководителя муниципального опорного центра). Основной педагогический состав имеет педагогический стаж: до 10 лет — 3 чел. (18 %), 10-19 лет — 5 чел. (29 %), 20-29 лет — 4 чел. (24 %), 30-39 лет — 4 чел. (24 %), 40 и более — 1 чел. (6 %).  Таким образом, в МОО «РЦДО» с. Корткерос более 47 % педагогических работников имеют стаж работы от 20 и более.</w:t>
      </w:r>
    </w:p>
    <w:p>
      <w:pPr>
        <w:spacing w:after="0" w:line="240" w:lineRule="auto"/>
        <w:ind w:firstLine="567"/>
        <w:contextualSpacing/>
        <w:jc w:val="both"/>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 xml:space="preserve">Средняя заработная плата педагогических работников в Центре дополнительного образования в 2025 году </w:t>
      </w:r>
      <w:r>
        <w:rPr>
          <w:rFonts w:ascii="Times New Roman" w:eastAsia="Times New Roman" w:hAnsi="Times New Roman" w:cs="Times New Roman"/>
          <w:color w:val="000000"/>
          <w:sz w:val="24"/>
          <w:szCs w:val="24"/>
          <w:lang w:eastAsia="ru-RU"/>
        </w:rPr>
        <w:t>составила 58449 рублей (2024 год – 58449 рублей, 2023 год – 50998 рублей, 2022 год – 48198 рублей), что соответствует установленному целевому показателю.</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ind w:firstLine="567"/>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Инклюзивное образование</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Общее количество детей-инвалидов и детей с ограниченными возможностями здоровья (ОВЗ) в возрасте от 2 месяцев до 18 лет всего – 64 ребенка. Из них 23 ребенка-инвалида (15 из них не имеют статус «ребенок с ОВЗ) и 18 детей со статусом ОВЗ, которые обучаются в образовательных организациях, посещают ДОО 16 детей-инвалидов (12 из них не имеет статус «ребенок с ОВЗ) и 7 детей с ОВЗ. 3 ребенка с инвалидностью не обучаются по состоянию здоровья (в 2024 году – детей-инвалидов, которые не обучались по состоянию здоровья, было 6, в 2023 – 6, 2022 - 11), 1 ребенок-инвалид не посещает ДОО. Проводиться соответствующая работа с родителями (законными представителями) на ПМПК Корткеросского района о возможности получения условий по организации обучения их детей и зачислению таких детей в образовательные организации.</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ind w:firstLine="567"/>
        <w:contextualSpacing/>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Материально – техническое оснащение образовательного процесса</w:t>
      </w:r>
    </w:p>
    <w:p>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2025 году на улучшение материально – технического оснащения образовательного процесса в части мероприятий по проведению капитальных и/или текущих ремонтов муниципальных образовательных организаций, приобретению оборудования для пищеблоков в целях их приведения в соответствие с санитарно-эпидемиологическими требованиями было направлено 4 508 333,34 руб. Выполнялись мероприятия  по ремонту кровель, инженерных сетей канализации и водоснабжения, системы отопления, по текущему ремонту внутри зданий, замене светильников, деревянных окон на пластиковые, </w:t>
      </w:r>
      <w:r>
        <w:rPr>
          <w:rFonts w:ascii="Times New Roman" w:eastAsia="Times New Roman" w:hAnsi="Times New Roman" w:cs="Times New Roman"/>
          <w:sz w:val="24"/>
          <w:szCs w:val="24"/>
          <w:lang w:eastAsia="ru-RU"/>
        </w:rPr>
        <w:lastRenderedPageBreak/>
        <w:t xml:space="preserve">аварийных запасных выходов (двери), по устранению предписаний </w:t>
      </w:r>
      <w:proofErr w:type="spellStart"/>
      <w:r>
        <w:rPr>
          <w:rFonts w:ascii="Times New Roman" w:eastAsia="Times New Roman" w:hAnsi="Times New Roman" w:cs="Times New Roman"/>
          <w:sz w:val="24"/>
          <w:szCs w:val="24"/>
          <w:lang w:eastAsia="ru-RU"/>
        </w:rPr>
        <w:t>Роспотребнадзора</w:t>
      </w:r>
      <w:proofErr w:type="spellEnd"/>
      <w:r>
        <w:rPr>
          <w:rFonts w:ascii="Times New Roman" w:eastAsia="Times New Roman" w:hAnsi="Times New Roman" w:cs="Times New Roman"/>
          <w:sz w:val="24"/>
          <w:szCs w:val="24"/>
          <w:lang w:eastAsia="ru-RU"/>
        </w:rPr>
        <w:t>.</w:t>
      </w:r>
    </w:p>
    <w:p>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обеспечение комплексной безопасности направлено 6 284 222,24 руб. Выполнялись мероприятия по замене автоматической пожарной сигнализации, аккумуляторов АПС, </w:t>
      </w:r>
      <w:proofErr w:type="spellStart"/>
      <w:r>
        <w:rPr>
          <w:rFonts w:ascii="Times New Roman" w:eastAsia="Times New Roman" w:hAnsi="Times New Roman" w:cs="Times New Roman"/>
          <w:sz w:val="24"/>
          <w:szCs w:val="24"/>
          <w:lang w:eastAsia="ru-RU"/>
        </w:rPr>
        <w:t>извещателей</w:t>
      </w:r>
      <w:proofErr w:type="spellEnd"/>
      <w:r>
        <w:rPr>
          <w:rFonts w:ascii="Times New Roman" w:eastAsia="Times New Roman" w:hAnsi="Times New Roman" w:cs="Times New Roman"/>
          <w:sz w:val="24"/>
          <w:szCs w:val="24"/>
          <w:lang w:eastAsia="ru-RU"/>
        </w:rPr>
        <w:t xml:space="preserve"> АПС, установке системы видеонаблюдения, замене огнетушителей, противопожарных дверей, устройству уличного освещения, замене светильников, установке оборудования системы контроля и управления доступом (домофоны), устройству ограждения, замене системы оповещения и управления эвакуацией при </w:t>
      </w:r>
      <w:proofErr w:type="gramStart"/>
      <w:r>
        <w:rPr>
          <w:rFonts w:ascii="Times New Roman" w:eastAsia="Times New Roman" w:hAnsi="Times New Roman" w:cs="Times New Roman"/>
          <w:sz w:val="24"/>
          <w:szCs w:val="24"/>
          <w:lang w:eastAsia="ru-RU"/>
        </w:rPr>
        <w:t>терроризме .</w:t>
      </w:r>
      <w:proofErr w:type="gramEnd"/>
      <w:r>
        <w:rPr>
          <w:rFonts w:ascii="Times New Roman" w:eastAsia="Times New Roman" w:hAnsi="Times New Roman" w:cs="Times New Roman"/>
          <w:sz w:val="24"/>
          <w:szCs w:val="24"/>
          <w:lang w:eastAsia="ru-RU"/>
        </w:rPr>
        <w:t xml:space="preserve"> </w:t>
      </w:r>
    </w:p>
    <w:p>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2025 г. в МОУ «ООШ» с. Небдино завершился капитальный ремонт в рамках регионального проекта "Модернизация школьной системы образования», общая сумма ремонтов составила 50 790 168,56 млн. руб., включая работы по антитеррористической защищенности, а также оснащение оборудованием и мебелью. В 2025 г. в рамках регионального проекта "Модернизация школьной системы образования» завершился капитальный ремонт и в МОУ СОШ» п. Аджером, общая сумма ремонтов составила 85 937 969,01 млн. руб., включая работы по антитеррористической защищенности, а также оснащение оборудованием и мебелью.</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 xml:space="preserve">В 2025 году </w:t>
      </w:r>
      <w:r>
        <w:rPr>
          <w:rFonts w:ascii="Times New Roman" w:eastAsia="Times New Roman" w:hAnsi="Times New Roman" w:cs="Times New Roman"/>
          <w:sz w:val="24"/>
          <w:szCs w:val="24"/>
          <w:lang w:eastAsia="ru-RU"/>
        </w:rPr>
        <w:t xml:space="preserve">реализовано 2 проекта </w:t>
      </w:r>
      <w:bookmarkStart w:id="1" w:name="_Hlk126009501"/>
      <w:r>
        <w:rPr>
          <w:rFonts w:ascii="Times New Roman" w:eastAsia="Times New Roman" w:hAnsi="Times New Roman" w:cs="Times New Roman"/>
          <w:sz w:val="24"/>
          <w:szCs w:val="24"/>
          <w:lang w:eastAsia="ru-RU"/>
        </w:rPr>
        <w:t>в рамках республиканского проекта «Народный бюджет»</w:t>
      </w:r>
      <w:bookmarkEnd w:id="1"/>
      <w:r>
        <w:rPr>
          <w:rFonts w:ascii="Times New Roman" w:eastAsia="Times New Roman" w:hAnsi="Times New Roman" w:cs="Times New Roman"/>
          <w:sz w:val="24"/>
          <w:szCs w:val="24"/>
          <w:lang w:eastAsia="ru-RU"/>
        </w:rPr>
        <w:t xml:space="preserve">: </w:t>
      </w:r>
      <w:r>
        <w:rPr>
          <w:rFonts w:ascii="Times New Roman" w:hAnsi="Times New Roman" w:cs="Times New Roman"/>
          <w:bCs/>
          <w:iCs/>
          <w:shd w:val="clear" w:color="auto" w:fill="FFFFFF"/>
        </w:rPr>
        <w:t xml:space="preserve">Обустройство спортивно-игровой площадки «Нашему детскому саду – спортивная площадка (МДОУ «Детский сад №1 с. Корткерос) </w:t>
      </w:r>
      <w:r>
        <w:rPr>
          <w:rFonts w:ascii="Times New Roman" w:eastAsia="Times New Roman" w:hAnsi="Times New Roman" w:cs="Times New Roman"/>
          <w:sz w:val="24"/>
          <w:szCs w:val="24"/>
          <w:lang w:eastAsia="ru-RU"/>
        </w:rPr>
        <w:t>на сумму 907588,89 рублей и «</w:t>
      </w:r>
      <w:r>
        <w:rPr>
          <w:rFonts w:ascii="Times New Roman" w:hAnsi="Times New Roman" w:cs="Times New Roman"/>
          <w:color w:val="000000"/>
          <w:shd w:val="clear" w:color="auto" w:fill="FFFFFF"/>
        </w:rPr>
        <w:t>Текущий ремонт кровли здания районного Цента дополнительного образования в с. Сторожевск»</w:t>
      </w:r>
      <w:r>
        <w:rPr>
          <w:rFonts w:ascii="Times New Roman" w:eastAsia="Times New Roman" w:hAnsi="Times New Roman" w:cs="Times New Roman"/>
          <w:sz w:val="24"/>
          <w:szCs w:val="24"/>
          <w:lang w:eastAsia="ru-RU"/>
        </w:rPr>
        <w:t xml:space="preserve"> на сумму 906688,89 рублей. </w:t>
      </w:r>
    </w:p>
    <w:p>
      <w:pPr>
        <w:spacing w:after="0" w:line="240" w:lineRule="auto"/>
        <w:ind w:firstLine="567"/>
        <w:jc w:val="both"/>
        <w:rPr>
          <w:rFonts w:ascii="Times New Roman" w:hAnsi="Times New Roman" w:cs="Times New Roman"/>
          <w:color w:val="000000"/>
          <w:shd w:val="clear" w:color="auto" w:fill="FFFFFF"/>
        </w:rPr>
      </w:pPr>
      <w:r>
        <w:rPr>
          <w:rFonts w:ascii="Times New Roman" w:eastAsia="Times New Roman" w:hAnsi="Times New Roman" w:cs="Times New Roman"/>
          <w:sz w:val="24"/>
          <w:szCs w:val="24"/>
          <w:lang w:eastAsia="ru-RU"/>
        </w:rPr>
        <w:t xml:space="preserve">В сфере «Доступная среда» реализован 1 проект: </w:t>
      </w:r>
      <w:r>
        <w:rPr>
          <w:rFonts w:ascii="Times New Roman" w:hAnsi="Times New Roman" w:cs="Times New Roman"/>
          <w:color w:val="000000"/>
          <w:shd w:val="clear" w:color="auto" w:fill="FFFFFF"/>
        </w:rPr>
        <w:t xml:space="preserve">Создание </w:t>
      </w:r>
      <w:proofErr w:type="spellStart"/>
      <w:r>
        <w:rPr>
          <w:rFonts w:ascii="Times New Roman" w:hAnsi="Times New Roman" w:cs="Times New Roman"/>
          <w:color w:val="000000"/>
          <w:shd w:val="clear" w:color="auto" w:fill="FFFFFF"/>
        </w:rPr>
        <w:t>безбарьерной</w:t>
      </w:r>
      <w:proofErr w:type="spellEnd"/>
      <w:r>
        <w:rPr>
          <w:rFonts w:ascii="Times New Roman" w:hAnsi="Times New Roman" w:cs="Times New Roman"/>
          <w:color w:val="000000"/>
          <w:shd w:val="clear" w:color="auto" w:fill="FFFFFF"/>
        </w:rPr>
        <w:t xml:space="preserve"> среды для детей с нарушением опорно-двигательного аппарата «Мир один на всех» в МОУ «СОШ» п. Подтыбок на сумму 1684766,67 рублей.</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Реализован 1 инициативный проект в рамках республиканского проекта «Инициативное бюджетирование»: «Ремонт здания дополнительного образования в с. Сторожевск» на сумму 1250000,0 рублей.</w:t>
      </w:r>
    </w:p>
    <w:p>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соглашения о социально-экономическом сотрудничестве между Правительством РК и АО «Сыктывкарский ЛПК» в 2025 году выполнены мероприятия на сумму 1,1 млн. руб.: «Текущий ремонт входной группы здания начальной школы МОУ «СОШ» с. Мордино» и «Текущий ремонт кровли здания МОУ «СОШ» п. Усть-Лэкчим».</w:t>
      </w:r>
    </w:p>
    <w:p>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2026 году в рамках проекта «Народный бюджет» в сфере «Образование» будет реализован ещё 1 проект: «Окна тепла для сельской школы» в МОУ «СОШ» п. Усть-Лэкчим на сумму 910488,89 рублей.</w:t>
      </w:r>
    </w:p>
    <w:p>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Вместе с тем, в 2026 году подана заявка для участия в конкурсе по отбору инициативных проектов, с предложением продолжить ремонт здания дополнительного образования в с. Сторожевск («Текущий ремонт здания дополнительного образования в с. Сторожевск»), результаты отбора будут известны в марте 2026 года.</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обеспечения местами младшего школьного возраста и ликвидации второй смены на территории СП «Корткерос» проводится работа по повторному включению в адресную инвестиционную программу строительства нового здания начальной школы на 250 мест в с. Корткерос.</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2024 году завершилась реализация национального проекта «Образование». В 2025 году в рамках проектов «Современная школа» и «Цифровая образовательная среда» поставки оборудования не было.</w:t>
      </w:r>
    </w:p>
    <w:p>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Оздоровительной кампанией </w:t>
      </w:r>
      <w:r>
        <w:rPr>
          <w:rFonts w:ascii="Times New Roman" w:eastAsia="Times New Roman" w:hAnsi="Times New Roman" w:cs="Times New Roman"/>
          <w:bCs/>
          <w:iCs/>
          <w:color w:val="000000" w:themeColor="text1"/>
          <w:kern w:val="24"/>
          <w:sz w:val="24"/>
          <w:szCs w:val="24"/>
          <w:lang w:eastAsia="ru-RU"/>
        </w:rPr>
        <w:t xml:space="preserve">в 2025 году </w:t>
      </w:r>
      <w:r>
        <w:rPr>
          <w:rFonts w:ascii="Times New Roman" w:eastAsia="Times New Roman" w:hAnsi="Times New Roman" w:cs="Times New Roman"/>
          <w:color w:val="000000" w:themeColor="text1"/>
          <w:sz w:val="24"/>
          <w:szCs w:val="24"/>
          <w:lang w:eastAsia="ru-RU"/>
        </w:rPr>
        <w:t xml:space="preserve">было охвачено 1067 детей школьного возраста (в 2024 – 1253, в 2023 -1141), из них 371 детей, находящихся в трудной жизненной ситуации (в 2024- 442, в 2023- 523). </w:t>
      </w:r>
    </w:p>
    <w:p>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истекшем году было трудоустроено 91 подросток (в 2024 году – 108, в 2023 году – 82).</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Несмотря на трудности и проблемы, с которыми сталкивается сфера образования, образование района находится в режиме развития и эффективно решает поставленные </w:t>
      </w:r>
      <w:r>
        <w:rPr>
          <w:rFonts w:ascii="Times New Roman" w:eastAsia="Times New Roman" w:hAnsi="Times New Roman" w:cs="Times New Roman"/>
          <w:sz w:val="24"/>
          <w:szCs w:val="24"/>
          <w:lang w:eastAsia="ru-RU"/>
        </w:rPr>
        <w:lastRenderedPageBreak/>
        <w:t xml:space="preserve">задачи. Это обусловлено ответственным трудом педагогов, хорошим уровнем профессиональной компетентности руководителей образовательных организаций. </w:t>
      </w:r>
    </w:p>
    <w:p>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Приоритетными направлениями и задачами на 2026 год считаем: </w:t>
      </w:r>
    </w:p>
    <w:p>
      <w:pPr>
        <w:numPr>
          <w:ilvl w:val="0"/>
          <w:numId w:val="1"/>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качества образования;</w:t>
      </w:r>
    </w:p>
    <w:p>
      <w:pPr>
        <w:numPr>
          <w:ilvl w:val="0"/>
          <w:numId w:val="1"/>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улучшение материально-технической базы образовательных организаций;</w:t>
      </w:r>
    </w:p>
    <w:p>
      <w:pPr>
        <w:numPr>
          <w:ilvl w:val="0"/>
          <w:numId w:val="1"/>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программе по капитальному ремонту зданий образовательных организаций;</w:t>
      </w:r>
    </w:p>
    <w:p>
      <w:pPr>
        <w:numPr>
          <w:ilvl w:val="0"/>
          <w:numId w:val="1"/>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кадровое обеспечение муниципальной системы образования;</w:t>
      </w:r>
    </w:p>
    <w:p>
      <w:pPr>
        <w:pStyle w:val="a6"/>
        <w:numPr>
          <w:ilvl w:val="0"/>
          <w:numId w:val="1"/>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воспитание гармонично развитой и социально ответственной личности.</w:t>
      </w:r>
    </w:p>
    <w:p>
      <w:pPr>
        <w:spacing w:after="0" w:line="240" w:lineRule="auto"/>
        <w:ind w:firstLine="1560"/>
        <w:contextualSpacing/>
        <w:jc w:val="center"/>
        <w:rPr>
          <w:rFonts w:ascii="Times New Roman" w:eastAsia="Times New Roman" w:hAnsi="Times New Roman" w:cs="Times New Roman"/>
          <w:b/>
          <w:sz w:val="24"/>
          <w:szCs w:val="24"/>
          <w:highlight w:val="yellow"/>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МОЛОДЁЖЬ</w:t>
      </w:r>
    </w:p>
    <w:p>
      <w:pPr>
        <w:spacing w:after="0" w:line="240" w:lineRule="auto"/>
        <w:ind w:firstLine="567"/>
        <w:contextualSpacing/>
        <w:jc w:val="both"/>
        <w:rPr>
          <w:rFonts w:ascii="Times New Roman" w:eastAsia="Times New Roman" w:hAnsi="Times New Roman" w:cs="Times New Roman"/>
          <w:color w:val="000000"/>
          <w:sz w:val="24"/>
          <w:szCs w:val="24"/>
          <w:lang w:eastAsia="ru-RU"/>
        </w:rPr>
      </w:pPr>
    </w:p>
    <w:p>
      <w:pPr>
        <w:spacing w:after="0" w:line="240" w:lineRule="auto"/>
        <w:ind w:firstLine="567"/>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Количество молодых людей в возрасте от 14 до 35 лет в 2025 году составило 3935 человек (в 2024 – 3935).</w:t>
      </w:r>
    </w:p>
    <w:p>
      <w:pPr>
        <w:tabs>
          <w:tab w:val="left" w:pos="0"/>
        </w:tabs>
        <w:spacing w:after="0" w:line="240" w:lineRule="auto"/>
        <w:ind w:firstLine="567"/>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Объем финансирования в области молодежной политики на 2025 год – составил </w:t>
      </w:r>
      <w:r>
        <w:rPr>
          <w:rFonts w:ascii="Times New Roman" w:eastAsia="Times New Roman" w:hAnsi="Times New Roman" w:cs="Times New Roman"/>
          <w:sz w:val="24"/>
          <w:szCs w:val="24"/>
          <w:lang w:eastAsia="ru-RU"/>
        </w:rPr>
        <w:t>484,9 тыс</w:t>
      </w:r>
      <w:r>
        <w:rPr>
          <w:rFonts w:ascii="Times New Roman" w:eastAsia="Times New Roman" w:hAnsi="Times New Roman" w:cs="Times New Roman"/>
          <w:color w:val="000000"/>
          <w:sz w:val="24"/>
          <w:szCs w:val="24"/>
          <w:lang w:eastAsia="ru-RU"/>
        </w:rPr>
        <w:t xml:space="preserve">. руб. (в 2024 – 400,9 тыс. руб.). </w:t>
      </w:r>
    </w:p>
    <w:p>
      <w:pPr>
        <w:tabs>
          <w:tab w:val="left" w:pos="0"/>
        </w:tabs>
        <w:spacing w:after="0" w:line="240" w:lineRule="auto"/>
        <w:ind w:firstLine="567"/>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целях развития молодежного движения в районе функционируют общественные объединения патриотической, добровольческой направленности, ученическое самоуправление с общим охватом более 1000 человек, проводятся мероприятия по направлениям: патриотизм, здоровый образ жизни, творчество, волонтерство. </w:t>
      </w:r>
    </w:p>
    <w:p>
      <w:pPr>
        <w:tabs>
          <w:tab w:val="left" w:pos="0"/>
        </w:tabs>
        <w:spacing w:after="0" w:line="240" w:lineRule="auto"/>
        <w:ind w:firstLine="567"/>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декабря 2025 года начал функционировать Молодежный совет</w:t>
      </w:r>
      <w:r>
        <w:t xml:space="preserve"> </w:t>
      </w:r>
      <w:r>
        <w:rPr>
          <w:rFonts w:ascii="Times New Roman" w:eastAsia="Times New Roman" w:hAnsi="Times New Roman" w:cs="Times New Roman"/>
          <w:color w:val="000000"/>
          <w:sz w:val="24"/>
          <w:szCs w:val="24"/>
          <w:lang w:eastAsia="ru-RU"/>
        </w:rPr>
        <w:t xml:space="preserve">при Главе муниципального района «Корткеросский». Создан и работает Координационный совет при Главе муниципального района «Корткеросский» - руководителе администрации по взаимодействию с Общероссийским общественно-государственным движением детей и молодежи «Движение первых». Создан Центр допризывной подготовки граждан к военной службе при военно-патриотическом клубе «Юный патриот» в школе с. Корткерос. </w:t>
      </w:r>
    </w:p>
    <w:p>
      <w:pPr>
        <w:tabs>
          <w:tab w:val="left" w:pos="0"/>
        </w:tabs>
        <w:spacing w:after="0" w:line="240" w:lineRule="auto"/>
        <w:ind w:firstLine="567"/>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школах с. Сторожевск, с. Корткерос и с. Подъельск продолжают работать кадетские классы общей численностью 129 человек. Кроме того, в районе действует 7 военно-патриотических клубов, поисковый отряд «Возвращение» (102 человека), 8 юнармейских отрядов (73 воспитанника). Развивается добровольчество, общее число населения, вовлеченного в добровольческую деятельность в 2025 году, составило 948 человек.</w:t>
      </w:r>
    </w:p>
    <w:p>
      <w:pPr>
        <w:spacing w:after="0" w:line="240" w:lineRule="auto"/>
        <w:contextualSpacing/>
        <w:jc w:val="center"/>
        <w:rPr>
          <w:rFonts w:ascii="Times New Roman" w:eastAsia="Times New Roman" w:hAnsi="Times New Roman" w:cs="Times New Roman"/>
          <w:b/>
          <w:color w:val="000000"/>
          <w:sz w:val="24"/>
          <w:szCs w:val="24"/>
          <w:highlight w:val="yellow"/>
          <w:lang w:eastAsia="ru-RU"/>
        </w:rPr>
      </w:pPr>
    </w:p>
    <w:p>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ОПЕКА И ПОПЕЧИТЕЛЬСТВО</w:t>
      </w:r>
    </w:p>
    <w:p>
      <w:pPr>
        <w:spacing w:after="0" w:line="240" w:lineRule="auto"/>
        <w:ind w:firstLine="567"/>
        <w:contextualSpacing/>
        <w:jc w:val="both"/>
        <w:rPr>
          <w:rFonts w:ascii="Times New Roman" w:eastAsia="Times New Roman" w:hAnsi="Times New Roman" w:cs="Times New Roman"/>
          <w:color w:val="000000"/>
          <w:sz w:val="24"/>
          <w:szCs w:val="24"/>
          <w:highlight w:val="yellow"/>
          <w:lang w:eastAsia="ru-RU"/>
        </w:rPr>
      </w:pP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течение 2025 года в Корткеросском районе выявлено 7 детей оставшихся без попечения родителей, 7 из которых устроены на семейную форму (опека, попечительство, приемная семья), что составляет 100 % показателя семейного устройства. По сравнению с 2024 годом, где выявлено 13 детей оставшихся без попечения родителей, в 2025 году уменьшился показатель социального сиротства почти в 2 раза.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 2025 год лишены родительских прав 3 родителей, ограничены - 1 (в 2023 году лишены родительских прав 11 родителей, 2 родителей ограничены в родительских правах.</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районе в замещающих семьях воспитываются 90 детей-сирот и детей, оставшихся без попечения родителей, в 2024 году было- 91 чел. По- прежнему Корткеросский район занимает лидирующее место в Республике Коми по созданию приемных семей – 18 приемных семей.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целях помощи семьям, воспитывающим детей-сирот и детей, оставшихся без попечения родителей в Корткеросском районе работает «Служба сопровождения замещающих семей».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рамках работы службы сопровождения замещающих семей отделом опеки и попечительства и педагогом-психологом </w:t>
      </w:r>
      <w:proofErr w:type="spellStart"/>
      <w:r>
        <w:rPr>
          <w:rFonts w:ascii="Times New Roman" w:hAnsi="Times New Roman" w:cs="Times New Roman"/>
          <w:sz w:val="24"/>
          <w:szCs w:val="24"/>
        </w:rPr>
        <w:t>ОСПСиД</w:t>
      </w:r>
      <w:proofErr w:type="spellEnd"/>
      <w:r>
        <w:rPr>
          <w:rFonts w:ascii="Times New Roman" w:hAnsi="Times New Roman" w:cs="Times New Roman"/>
          <w:sz w:val="24"/>
          <w:szCs w:val="24"/>
        </w:rPr>
        <w:t xml:space="preserve"> ГБУ РК «ЦСЗН Корткеросского района» проводится профилактическая и психологическая работа с несовершеннолетними, включающая в себя проведение профилактических бесед,  психологические консультирования, психологическую диагностику, психологическую коррекцию с </w:t>
      </w:r>
      <w:r>
        <w:rPr>
          <w:rFonts w:ascii="Times New Roman" w:hAnsi="Times New Roman" w:cs="Times New Roman"/>
          <w:sz w:val="24"/>
          <w:szCs w:val="24"/>
        </w:rPr>
        <w:lastRenderedPageBreak/>
        <w:t xml:space="preserve">несовершеннолетними и замещающими родителями, направленные на снятие агрессивного поведения, коррекцию </w:t>
      </w:r>
      <w:proofErr w:type="spellStart"/>
      <w:r>
        <w:rPr>
          <w:rFonts w:ascii="Times New Roman" w:hAnsi="Times New Roman" w:cs="Times New Roman"/>
          <w:sz w:val="24"/>
          <w:szCs w:val="24"/>
        </w:rPr>
        <w:t>девиантного</w:t>
      </w:r>
      <w:proofErr w:type="spellEnd"/>
      <w:r>
        <w:rPr>
          <w:rFonts w:ascii="Times New Roman" w:hAnsi="Times New Roman" w:cs="Times New Roman"/>
          <w:sz w:val="24"/>
          <w:szCs w:val="24"/>
        </w:rPr>
        <w:t xml:space="preserve"> поведения несовершеннолетних, налаживание детско-родительских взаимоотношений. Данная работа включает в себя систематические встречи и беседы, имеющие определенные цели и задачи проводимой работы.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течение 2025 года оказана психологическая помощь 23 несовершеннолетним, детям-сиротам и детям, оставшимся без попечения родителей.</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Орган опеки и попечительства совместно с ГБУ РК «ЦСЗН Корткеросского района» осуществляет подбор, учет и подготовку граждан, выразивших желание стать усыновителями, опекунами, попечителями, приемными родителями детей, оставшихся без попечения родителей. Таких кандидатов за 2025 год -  8 чел., в 2024 году- 10 чел.</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районе в отношении 39 недееспособных граждан установлена опека, в 2024 году таких граждан было -34.</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планировании дальнейшей работы является уменьшение удельного веса детей-сирот и детей, оставшихся без попечения родителей. Для достижения положительного результата очень важно раннее выявление неблагополучных семей и проведение с ними профилактической работы. Это представляет собой целостный комплекс деятельности субъектов профилактики Корткеросского района.</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СОЦИАЛЬНАЯ РАБОТА</w:t>
      </w:r>
    </w:p>
    <w:p>
      <w:pPr>
        <w:spacing w:after="0" w:line="240" w:lineRule="auto"/>
        <w:contextualSpacing/>
        <w:jc w:val="center"/>
        <w:rPr>
          <w:rFonts w:ascii="Times New Roman" w:eastAsia="Times New Roman" w:hAnsi="Times New Roman" w:cs="Times New Roman"/>
          <w:b/>
          <w:sz w:val="24"/>
          <w:szCs w:val="24"/>
          <w:highlight w:val="yellow"/>
          <w:lang w:eastAsia="ru-RU"/>
        </w:rPr>
      </w:pPr>
    </w:p>
    <w:p>
      <w:pPr>
        <w:tabs>
          <w:tab w:val="left" w:pos="567"/>
        </w:tabs>
        <w:spacing w:after="0" w:line="240" w:lineRule="auto"/>
        <w:ind w:right="17"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В течение 2025 года были организованы две торжественные церемонии передачи государственных наград Российской Федерации семьям погибших участников специальной военной операции (далее - СВО).</w:t>
      </w:r>
      <w:r>
        <w:rPr>
          <w:rFonts w:ascii="Times New Roman" w:eastAsia="Times New Roman" w:hAnsi="Times New Roman" w:cs="Times New Roman"/>
          <w:sz w:val="24"/>
          <w:szCs w:val="24"/>
          <w:lang w:eastAsia="ru-RU"/>
        </w:rPr>
        <w:t xml:space="preserve"> </w:t>
      </w:r>
    </w:p>
    <w:p>
      <w:pPr>
        <w:tabs>
          <w:tab w:val="left" w:pos="567"/>
        </w:tabs>
        <w:spacing w:after="0" w:line="240" w:lineRule="auto"/>
        <w:ind w:right="17"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Продолжена работа по увековечению памяти погибших участников СВО. В 2025 году изготовлено и установлено на фасадах образовательных организаций 2 мемориальных плит. Открытие каждой плиты прошло в торжественной обстановке.</w:t>
      </w:r>
    </w:p>
    <w:p>
      <w:pPr>
        <w:tabs>
          <w:tab w:val="left" w:pos="567"/>
          <w:tab w:val="left" w:pos="10206"/>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 и функционирует Оперативный штаб по оказанию помощи семьям мобилизованных граждан на территории муниципального района «Корткеросский». Оперативным штабом организован и ведется на постоянной основе сбор средств от юридических и физических лиц района для приобретения товаров первой необходимости с последующей отправкой в зону проведения СВО. В декабре 2025 года приобретены и отправлены генератор и материалы необходимые для выполнения боевых задач (по запросам участников СВО, поступающим из зоны проведения СВО). По обращению матери участника СВО организована перевозка гуманитарной помощи из с. Корткерос в г. Сыктывкар (в благотворительный фонд).</w:t>
      </w:r>
    </w:p>
    <w:p>
      <w:pPr>
        <w:tabs>
          <w:tab w:val="left" w:pos="567"/>
          <w:tab w:val="left" w:pos="10206"/>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обращений участников СВО и членов их семей проведены работы по уборке аварийных деревьев (старые березы, угрожавшие повреждением забора), при содействии местных лесозаготовительных предприятий была организована помощь в приобретении и распилке дров.</w:t>
      </w:r>
    </w:p>
    <w:p>
      <w:pPr>
        <w:tabs>
          <w:tab w:val="left" w:pos="567"/>
          <w:tab w:val="left" w:pos="10206"/>
        </w:tabs>
        <w:spacing w:after="0" w:line="240" w:lineRule="auto"/>
        <w:ind w:firstLine="709"/>
        <w:contextualSpacing/>
        <w:jc w:val="both"/>
        <w:rPr>
          <w:sz w:val="24"/>
          <w:szCs w:val="24"/>
        </w:rPr>
      </w:pPr>
      <w:r>
        <w:rPr>
          <w:rFonts w:ascii="Times New Roman" w:eastAsia="Times New Roman" w:hAnsi="Times New Roman" w:cs="Times New Roman"/>
          <w:sz w:val="24"/>
          <w:szCs w:val="24"/>
          <w:lang w:eastAsia="ru-RU"/>
        </w:rPr>
        <w:t>В 2025 году на основании постановления администрации от 30.03.2025 № 304 «Об утверждении Порядка определения объема и предоставления субсидий на конкурсной основе из бюджета МР «Корткеросский» социально ориентированным некоммерческим организациям» была оказана финансовая поддержка Местной общественной организации Коми республиканской общественной организации Всероссийской общественной организации ветеранов (пенсионеров) войны, труда, вооруженных сил и правоохранительных органов Корткеросского района в размере 283 627,00 руб. где 200 000,00 руб. – средства местного бюджета, 83 627,00 руб. – софинансирование из республиканского бюджета.</w:t>
      </w:r>
      <w:r>
        <w:rPr>
          <w:sz w:val="24"/>
          <w:szCs w:val="24"/>
        </w:rPr>
        <w:t xml:space="preserve"> </w:t>
      </w:r>
    </w:p>
    <w:p>
      <w:pPr>
        <w:tabs>
          <w:tab w:val="left" w:pos="1134"/>
        </w:tabs>
        <w:spacing w:after="0" w:line="240" w:lineRule="auto"/>
        <w:ind w:right="159"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 июля, в День семьи, любви и верности, службой по социальным вопросам совместно с Территориальным отделом ЗАГСа Корткеросского района было организовано и проведено торжественное вручение медалей «За любовь и верность» трем супружеским парам Корткеросского района, прожившим в браке более 25 лет</w:t>
      </w:r>
      <w:r>
        <w:rPr>
          <w:rFonts w:ascii="Times New Roman" w:hAnsi="Times New Roman" w:cs="Times New Roman"/>
          <w:sz w:val="24"/>
          <w:szCs w:val="24"/>
        </w:rPr>
        <w:t>.</w:t>
      </w:r>
    </w:p>
    <w:p>
      <w:pPr>
        <w:spacing w:after="0" w:line="240" w:lineRule="auto"/>
        <w:contextualSpacing/>
        <w:jc w:val="both"/>
        <w:rPr>
          <w:rFonts w:ascii="Times New Roman" w:eastAsia="Times New Roman" w:hAnsi="Times New Roman" w:cs="Times New Roman"/>
          <w:b/>
          <w:sz w:val="24"/>
          <w:szCs w:val="24"/>
          <w:highlight w:val="yellow"/>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КУЛЬТУРА</w:t>
      </w:r>
    </w:p>
    <w:p>
      <w:pPr>
        <w:autoSpaceDE w:val="0"/>
        <w:autoSpaceDN w:val="0"/>
        <w:adjustRightInd w:val="0"/>
        <w:spacing w:after="0" w:line="240" w:lineRule="auto"/>
        <w:jc w:val="both"/>
        <w:rPr>
          <w:rFonts w:ascii="Times New Roman" w:eastAsia="Times New Roman" w:hAnsi="Times New Roman" w:cs="Times New Roman"/>
          <w:color w:val="000000"/>
          <w:sz w:val="24"/>
          <w:szCs w:val="24"/>
          <w:highlight w:val="yellow"/>
        </w:rPr>
      </w:pPr>
    </w:p>
    <w:p>
      <w:pPr>
        <w:spacing w:after="0"/>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В </w:t>
      </w:r>
      <w:r>
        <w:rPr>
          <w:rFonts w:ascii="Times New Roman" w:hAnsi="Times New Roman" w:cs="Times New Roman"/>
          <w:sz w:val="24"/>
          <w:szCs w:val="24"/>
        </w:rPr>
        <w:t>2025 году сеть учреждений культуры Корткеросского района представлена пятью муниципальными учреждениями:</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МУ «Корткеросская централизованная библиотечная система», включающая 22 филиала в сельских поселениях.</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МБУ «Корткеросский центр культуры и досуга», имеющий 24 филиала.</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МБУ ДО «Корткеросская районная детская школа искусств».</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МУ «Корткеросский районный историко-краеведческий музей» с филиалом в с. Нёбдино (Литературный музей В.А. Савина).</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МБУ «Центр коми культуры Корткеросского района» (Визит-центр).</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В течение 2025 года учреждениями культурно-досугового типа было проведено 5735 мероприятий, которые посетили 236 764 человека.</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В 260 клубных формированиях занимаются 2529 человек. Из них 137 формирований предназначены для детей и молодежи, охватывая 1350 участников. </w:t>
      </w:r>
      <w:r>
        <w:rPr>
          <w:rFonts w:ascii="Times New Roman" w:eastAsia="Times New Roman" w:hAnsi="Times New Roman" w:cs="Times New Roman"/>
          <w:color w:val="000000"/>
          <w:sz w:val="24"/>
          <w:szCs w:val="24"/>
        </w:rPr>
        <w:t>Четыре коллектив</w:t>
      </w:r>
      <w:r>
        <w:rPr>
          <w:rFonts w:ascii="Times New Roman" w:eastAsia="Times New Roman" w:hAnsi="Times New Roman" w:cs="Times New Roman"/>
          <w:sz w:val="24"/>
          <w:szCs w:val="24"/>
        </w:rPr>
        <w:t>а</w:t>
      </w:r>
      <w:r>
        <w:rPr>
          <w:rFonts w:ascii="Times New Roman" w:eastAsia="Times New Roman" w:hAnsi="Times New Roman" w:cs="Times New Roman"/>
          <w:color w:val="000000"/>
          <w:sz w:val="24"/>
          <w:szCs w:val="24"/>
        </w:rPr>
        <w:t xml:space="preserve"> носят звание «Народный самодеятельный коллектив Республики Коми»</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p>
    <w:p>
      <w:pPr>
        <w:shd w:val="clear" w:color="auto" w:fill="FFFFFF"/>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Библиотеки посетили в 2025 году </w:t>
      </w:r>
      <w:r>
        <w:rPr>
          <w:rFonts w:ascii="Times New Roman" w:hAnsi="Times New Roman" w:cs="Times New Roman"/>
          <w:sz w:val="24"/>
          <w:szCs w:val="24"/>
          <w:shd w:val="clear" w:color="auto" w:fill="FFFFFF" w:themeFill="background1"/>
        </w:rPr>
        <w:t>208815</w:t>
      </w:r>
      <w:r>
        <w:rPr>
          <w:rFonts w:ascii="Times New Roman" w:hAnsi="Times New Roman" w:cs="Times New Roman"/>
          <w:sz w:val="24"/>
          <w:szCs w:val="24"/>
        </w:rPr>
        <w:t xml:space="preserve"> посетителей, книговыдача</w:t>
      </w:r>
      <w:r>
        <w:rPr>
          <w:rFonts w:ascii="Times New Roman" w:hAnsi="Times New Roman" w:cs="Times New Roman"/>
          <w:b/>
          <w:sz w:val="24"/>
          <w:szCs w:val="24"/>
        </w:rPr>
        <w:t xml:space="preserve"> </w:t>
      </w:r>
      <w:r>
        <w:rPr>
          <w:rFonts w:ascii="Times New Roman" w:hAnsi="Times New Roman" w:cs="Times New Roman"/>
          <w:sz w:val="24"/>
          <w:szCs w:val="24"/>
        </w:rPr>
        <w:t xml:space="preserve">составила </w:t>
      </w:r>
      <w:r>
        <w:rPr>
          <w:rFonts w:ascii="Times New Roman" w:hAnsi="Times New Roman" w:cs="Times New Roman"/>
          <w:sz w:val="24"/>
          <w:szCs w:val="24"/>
          <w:shd w:val="clear" w:color="auto" w:fill="FFFFFF" w:themeFill="background1"/>
        </w:rPr>
        <w:t>411109</w:t>
      </w:r>
      <w:r>
        <w:rPr>
          <w:rFonts w:ascii="Times New Roman" w:hAnsi="Times New Roman" w:cs="Times New Roman"/>
          <w:sz w:val="24"/>
          <w:szCs w:val="24"/>
        </w:rPr>
        <w:t xml:space="preserve"> экземпляров книг; количество читателей составил </w:t>
      </w:r>
      <w:r>
        <w:rPr>
          <w:rFonts w:ascii="Times New Roman" w:hAnsi="Times New Roman" w:cs="Times New Roman"/>
          <w:sz w:val="24"/>
          <w:szCs w:val="24"/>
          <w:shd w:val="clear" w:color="auto" w:fill="FFFFFF" w:themeFill="background1"/>
        </w:rPr>
        <w:t>11263</w:t>
      </w:r>
      <w:r>
        <w:rPr>
          <w:rFonts w:ascii="Times New Roman" w:hAnsi="Times New Roman" w:cs="Times New Roman"/>
          <w:sz w:val="24"/>
          <w:szCs w:val="24"/>
        </w:rPr>
        <w:t xml:space="preserve"> человек. В целях более полного охвата населения библиотечным обслуживанием, стационарная сеть расширяется за счет организации библиотечных пунктов (</w:t>
      </w:r>
      <w:r>
        <w:rPr>
          <w:rFonts w:ascii="Times New Roman" w:hAnsi="Times New Roman" w:cs="Times New Roman"/>
          <w:sz w:val="24"/>
          <w:szCs w:val="24"/>
          <w:shd w:val="clear" w:color="auto" w:fill="FFFFFF" w:themeFill="background1"/>
        </w:rPr>
        <w:t>51</w:t>
      </w:r>
      <w:r>
        <w:rPr>
          <w:rFonts w:ascii="Times New Roman" w:hAnsi="Times New Roman" w:cs="Times New Roman"/>
          <w:sz w:val="24"/>
          <w:szCs w:val="24"/>
        </w:rPr>
        <w:t xml:space="preserve"> единица, обслужено </w:t>
      </w:r>
      <w:r>
        <w:rPr>
          <w:rFonts w:ascii="Times New Roman" w:hAnsi="Times New Roman" w:cs="Times New Roman"/>
          <w:sz w:val="24"/>
          <w:szCs w:val="24"/>
          <w:shd w:val="clear" w:color="auto" w:fill="FFFFFF" w:themeFill="background1"/>
        </w:rPr>
        <w:t xml:space="preserve">1122 </w:t>
      </w:r>
      <w:r>
        <w:rPr>
          <w:rFonts w:ascii="Times New Roman" w:hAnsi="Times New Roman" w:cs="Times New Roman"/>
          <w:sz w:val="24"/>
          <w:szCs w:val="24"/>
        </w:rPr>
        <w:t xml:space="preserve">человек) в учреждениях и организациях, а также в населенных пунктах, не имеющих стационарных библиотек. </w:t>
      </w:r>
    </w:p>
    <w:p>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В рамках государственной программы Республики Коми «Развитие культуры» в посёлке Визябож открылась обновлённая библиотека детективов. Модернизация обошлась в три миллиона рублей: 2,5 миллиона поступили из республиканского бюджета, а 300 тысяч — из бюджета Корткеросского района.</w:t>
      </w:r>
      <w:r>
        <w:rPr>
          <w:rFonts w:ascii="Times New Roman" w:eastAsia="Times New Roman" w:hAnsi="Times New Roman" w:cs="Times New Roman"/>
          <w:sz w:val="24"/>
          <w:szCs w:val="24"/>
        </w:rPr>
        <w:t xml:space="preserve"> </w:t>
      </w:r>
    </w:p>
    <w:p>
      <w:pPr>
        <w:shd w:val="clear" w:color="auto" w:fill="FFFFFF" w:themeFill="background1"/>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Корткеросская районная детская школа искусств обучает </w:t>
      </w:r>
      <w:r>
        <w:rPr>
          <w:rFonts w:ascii="Times New Roman" w:eastAsia="Times New Roman" w:hAnsi="Times New Roman" w:cs="Times New Roman"/>
          <w:sz w:val="24"/>
          <w:szCs w:val="24"/>
          <w:shd w:val="clear" w:color="auto" w:fill="FFFFFF" w:themeFill="background1"/>
        </w:rPr>
        <w:t xml:space="preserve">74 </w:t>
      </w:r>
      <w:r>
        <w:rPr>
          <w:rFonts w:ascii="Times New Roman" w:eastAsia="Times New Roman" w:hAnsi="Times New Roman" w:cs="Times New Roman"/>
          <w:sz w:val="24"/>
          <w:szCs w:val="24"/>
        </w:rPr>
        <w:t xml:space="preserve">учащегося, включая детей из населенных пунктов </w:t>
      </w:r>
      <w:r>
        <w:rPr>
          <w:rFonts w:ascii="Times New Roman" w:eastAsia="Times New Roman" w:hAnsi="Times New Roman" w:cs="Times New Roman"/>
          <w:sz w:val="24"/>
          <w:szCs w:val="24"/>
          <w:shd w:val="clear" w:color="auto" w:fill="FFFFFF" w:themeFill="background1"/>
        </w:rPr>
        <w:t>Визябож, Додзь, Аджером и Пезмег.</w:t>
      </w:r>
      <w:r>
        <w:rPr>
          <w:rFonts w:ascii="Times New Roman" w:eastAsia="Times New Roman" w:hAnsi="Times New Roman" w:cs="Times New Roman"/>
          <w:sz w:val="24"/>
          <w:szCs w:val="24"/>
        </w:rPr>
        <w:t xml:space="preserve">  </w:t>
      </w:r>
    </w:p>
    <w:p>
      <w:pPr>
        <w:shd w:val="clear" w:color="auto" w:fill="FFFFFF" w:themeFill="background1"/>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Воспитанники школы регулярно демонстрируют свои таланты на конкурсах различного уровня. В 2025 году они приняли участие в </w:t>
      </w:r>
      <w:r>
        <w:rPr>
          <w:rFonts w:ascii="Times New Roman" w:eastAsia="Times New Roman" w:hAnsi="Times New Roman" w:cs="Times New Roman"/>
          <w:sz w:val="24"/>
          <w:szCs w:val="24"/>
          <w:shd w:val="clear" w:color="auto" w:fill="FFFFFF" w:themeFill="background1"/>
        </w:rPr>
        <w:t xml:space="preserve">12 </w:t>
      </w:r>
      <w:r>
        <w:rPr>
          <w:rFonts w:ascii="Times New Roman" w:eastAsia="Times New Roman" w:hAnsi="Times New Roman" w:cs="Times New Roman"/>
          <w:sz w:val="24"/>
          <w:szCs w:val="24"/>
        </w:rPr>
        <w:t>конкурсах, добившись значительных успехов:</w:t>
      </w:r>
    </w:p>
    <w:p>
      <w:pPr>
        <w:numPr>
          <w:ilvl w:val="0"/>
          <w:numId w:val="7"/>
        </w:numPr>
        <w:shd w:val="clear" w:color="auto" w:fill="FFFFFF" w:themeFill="background1"/>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Международные конкурсы: </w:t>
      </w:r>
      <w:proofErr w:type="gramStart"/>
      <w:r>
        <w:rPr>
          <w:rFonts w:ascii="Times New Roman" w:eastAsia="Times New Roman" w:hAnsi="Times New Roman" w:cs="Times New Roman"/>
          <w:sz w:val="24"/>
          <w:szCs w:val="24"/>
        </w:rPr>
        <w:t>8  победителей</w:t>
      </w:r>
      <w:proofErr w:type="gramEnd"/>
      <w:r>
        <w:rPr>
          <w:rFonts w:ascii="Times New Roman" w:eastAsia="Times New Roman" w:hAnsi="Times New Roman" w:cs="Times New Roman"/>
          <w:sz w:val="24"/>
          <w:szCs w:val="24"/>
        </w:rPr>
        <w:t>;</w:t>
      </w:r>
    </w:p>
    <w:p>
      <w:pPr>
        <w:numPr>
          <w:ilvl w:val="0"/>
          <w:numId w:val="7"/>
        </w:numPr>
        <w:shd w:val="clear" w:color="auto" w:fill="FFFFFF" w:themeFill="background1"/>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Всероссийские конкурсы: </w:t>
      </w:r>
      <w:proofErr w:type="gramStart"/>
      <w:r>
        <w:rPr>
          <w:rFonts w:ascii="Times New Roman" w:eastAsia="Times New Roman" w:hAnsi="Times New Roman" w:cs="Times New Roman"/>
          <w:sz w:val="24"/>
          <w:szCs w:val="24"/>
          <w:shd w:val="clear" w:color="auto" w:fill="FFFFFF" w:themeFill="background1"/>
        </w:rPr>
        <w:t xml:space="preserve">4  </w:t>
      </w:r>
      <w:r>
        <w:rPr>
          <w:rFonts w:ascii="Times New Roman" w:eastAsia="Times New Roman" w:hAnsi="Times New Roman" w:cs="Times New Roman"/>
          <w:sz w:val="24"/>
          <w:szCs w:val="24"/>
        </w:rPr>
        <w:t>победителей</w:t>
      </w:r>
      <w:proofErr w:type="gramEnd"/>
      <w:r>
        <w:rPr>
          <w:rFonts w:ascii="Times New Roman" w:eastAsia="Times New Roman" w:hAnsi="Times New Roman" w:cs="Times New Roman"/>
          <w:sz w:val="24"/>
          <w:szCs w:val="24"/>
        </w:rPr>
        <w:t>;</w:t>
      </w:r>
    </w:p>
    <w:p>
      <w:pPr>
        <w:numPr>
          <w:ilvl w:val="0"/>
          <w:numId w:val="7"/>
        </w:numPr>
        <w:shd w:val="clear" w:color="auto" w:fill="FFFFFF" w:themeFill="background1"/>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Республиканские конкурсы: </w:t>
      </w:r>
      <w:proofErr w:type="gramStart"/>
      <w:r>
        <w:rPr>
          <w:rFonts w:ascii="Times New Roman" w:eastAsia="Times New Roman" w:hAnsi="Times New Roman" w:cs="Times New Roman"/>
          <w:sz w:val="24"/>
          <w:szCs w:val="24"/>
          <w:shd w:val="clear" w:color="auto" w:fill="FFFFFF" w:themeFill="background1"/>
        </w:rPr>
        <w:t xml:space="preserve">21  </w:t>
      </w:r>
      <w:r>
        <w:rPr>
          <w:rFonts w:ascii="Times New Roman" w:eastAsia="Times New Roman" w:hAnsi="Times New Roman" w:cs="Times New Roman"/>
          <w:sz w:val="24"/>
          <w:szCs w:val="24"/>
        </w:rPr>
        <w:t>победитель</w:t>
      </w:r>
      <w:proofErr w:type="gramEnd"/>
      <w:r>
        <w:rPr>
          <w:rFonts w:ascii="Times New Roman" w:eastAsia="Times New Roman" w:hAnsi="Times New Roman" w:cs="Times New Roman"/>
          <w:sz w:val="24"/>
          <w:szCs w:val="24"/>
        </w:rPr>
        <w:t>;</w:t>
      </w:r>
    </w:p>
    <w:p>
      <w:pPr>
        <w:numPr>
          <w:ilvl w:val="0"/>
          <w:numId w:val="7"/>
        </w:numPr>
        <w:shd w:val="clear" w:color="auto" w:fill="FFFFFF" w:themeFill="background1"/>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Районные конкурсы: </w:t>
      </w:r>
      <w:r>
        <w:rPr>
          <w:rFonts w:ascii="Times New Roman" w:eastAsia="Times New Roman" w:hAnsi="Times New Roman" w:cs="Times New Roman"/>
          <w:sz w:val="24"/>
          <w:szCs w:val="24"/>
          <w:shd w:val="clear" w:color="auto" w:fill="FFFFFF" w:themeFill="background1"/>
        </w:rPr>
        <w:t>3</w:t>
      </w:r>
      <w:r>
        <w:rPr>
          <w:rFonts w:ascii="Times New Roman" w:eastAsia="Times New Roman" w:hAnsi="Times New Roman" w:cs="Times New Roman"/>
          <w:sz w:val="24"/>
          <w:szCs w:val="24"/>
        </w:rPr>
        <w:t xml:space="preserve"> победителя.</w:t>
      </w:r>
    </w:p>
    <w:p>
      <w:pPr>
        <w:shd w:val="clear" w:color="auto" w:fill="FFFFFF"/>
        <w:spacing w:after="0"/>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МУ «Корткеросский районный историко-краеведческий музей» и его филиал «Литературный музей В.А. Савина» ставят своей целью сохранение культурного наследия Республики Коми и Корткеросского района, а также популяризацию истории родного края среди населения. </w:t>
      </w:r>
    </w:p>
    <w:p>
      <w:pPr>
        <w:shd w:val="clear" w:color="auto" w:fill="FFFFFF"/>
        <w:spacing w:after="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 2025 году было проведено 280 экскурсий, оформлено 48 выставок. </w:t>
      </w:r>
      <w:r>
        <w:rPr>
          <w:rFonts w:ascii="Times New Roman" w:hAnsi="Times New Roman" w:cs="Times New Roman"/>
          <w:sz w:val="24"/>
          <w:szCs w:val="24"/>
        </w:rPr>
        <w:t xml:space="preserve">В музее на учете состоят 24 705 предметов, в том числе 11 931 предметов основного фонда. </w:t>
      </w:r>
    </w:p>
    <w:p>
      <w:pPr>
        <w:shd w:val="clear" w:color="auto" w:fill="FFFFFF" w:themeFill="background1"/>
        <w:tabs>
          <w:tab w:val="left" w:pos="1134"/>
        </w:tabs>
        <w:spacing w:after="0"/>
        <w:ind w:firstLine="709"/>
        <w:jc w:val="both"/>
        <w:rPr>
          <w:rFonts w:ascii="Times New Roman" w:hAnsi="Times New Roman" w:cs="Times New Roman"/>
          <w:color w:val="000000" w:themeColor="text1"/>
          <w:sz w:val="24"/>
          <w:szCs w:val="24"/>
          <w:shd w:val="clear" w:color="auto" w:fill="FFFFFF" w:themeFill="background1"/>
        </w:rPr>
      </w:pPr>
      <w:r>
        <w:rPr>
          <w:rFonts w:ascii="Times New Roman" w:hAnsi="Times New Roman" w:cs="Times New Roman"/>
          <w:color w:val="000000" w:themeColor="text1"/>
          <w:sz w:val="24"/>
          <w:szCs w:val="24"/>
        </w:rPr>
        <w:t xml:space="preserve">     В 2025 году на решение вопросов местного значения в области культуры, национальной политики, туризма и дополнительного образования детей было выделено </w:t>
      </w:r>
      <w:r>
        <w:rPr>
          <w:rFonts w:ascii="Times New Roman" w:hAnsi="Times New Roman" w:cs="Times New Roman"/>
          <w:color w:val="000000" w:themeColor="text1"/>
          <w:sz w:val="24"/>
          <w:szCs w:val="24"/>
          <w:shd w:val="clear" w:color="auto" w:fill="FFFFFF" w:themeFill="background1"/>
        </w:rPr>
        <w:t>223</w:t>
      </w:r>
      <w:r>
        <w:rPr>
          <w:rFonts w:ascii="Times New Roman" w:hAnsi="Times New Roman" w:cs="Times New Roman"/>
          <w:color w:val="000000" w:themeColor="text1"/>
          <w:sz w:val="24"/>
          <w:szCs w:val="24"/>
        </w:rPr>
        <w:t> 093 971 рублей. Доля расходов на культуру в объеме бюджета муниципального района «Корткеросский» составляет 1</w:t>
      </w:r>
      <w:r>
        <w:rPr>
          <w:rFonts w:ascii="Times New Roman" w:hAnsi="Times New Roman" w:cs="Times New Roman"/>
          <w:color w:val="000000" w:themeColor="text1"/>
          <w:sz w:val="24"/>
          <w:szCs w:val="24"/>
          <w:shd w:val="clear" w:color="auto" w:fill="FFFFFF" w:themeFill="background1"/>
        </w:rPr>
        <w:t xml:space="preserve">2,4%. </w:t>
      </w:r>
    </w:p>
    <w:p>
      <w:pPr>
        <w:shd w:val="clear" w:color="auto" w:fill="FFFFFF" w:themeFill="background1"/>
        <w:tabs>
          <w:tab w:val="left" w:pos="1134"/>
        </w:tabs>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themeFill="background1"/>
        </w:rPr>
        <w:lastRenderedPageBreak/>
        <w:t xml:space="preserve">     </w:t>
      </w:r>
      <w:r>
        <w:rPr>
          <w:rFonts w:ascii="Times New Roman" w:hAnsi="Times New Roman" w:cs="Times New Roman"/>
          <w:color w:val="000000" w:themeColor="text1"/>
          <w:sz w:val="24"/>
          <w:szCs w:val="24"/>
        </w:rPr>
        <w:t xml:space="preserve">В 2025 году проделана большая работа по обновлению материально-технической базы учреждений культуры. Объем бюджетного финансирования из средств республиканского бюджета на укрепление материально-технической базы учреждений культуры составил </w:t>
      </w:r>
      <w:r>
        <w:rPr>
          <w:rFonts w:ascii="Times New Roman" w:hAnsi="Times New Roman" w:cs="Times New Roman"/>
          <w:color w:val="000000" w:themeColor="text1"/>
          <w:sz w:val="24"/>
          <w:szCs w:val="24"/>
          <w:shd w:val="clear" w:color="auto" w:fill="FFFFFF" w:themeFill="background1"/>
        </w:rPr>
        <w:t>16 млн. 907</w:t>
      </w:r>
      <w:r>
        <w:rPr>
          <w:rFonts w:ascii="Times New Roman" w:hAnsi="Times New Roman" w:cs="Times New Roman"/>
          <w:color w:val="000000" w:themeColor="text1"/>
          <w:sz w:val="24"/>
          <w:szCs w:val="24"/>
        </w:rPr>
        <w:t xml:space="preserve"> тыс. руб., в том числе средства федерального бюджета </w:t>
      </w:r>
      <w:r>
        <w:rPr>
          <w:rFonts w:ascii="Times New Roman" w:hAnsi="Times New Roman" w:cs="Times New Roman"/>
          <w:color w:val="000000" w:themeColor="text1"/>
          <w:sz w:val="24"/>
          <w:szCs w:val="24"/>
          <w:shd w:val="clear" w:color="auto" w:fill="FFFFFF" w:themeFill="background1"/>
        </w:rPr>
        <w:t>3 млн. 870 тыс.</w:t>
      </w:r>
      <w:r>
        <w:rPr>
          <w:rFonts w:ascii="Times New Roman" w:hAnsi="Times New Roman" w:cs="Times New Roman"/>
          <w:color w:val="000000" w:themeColor="text1"/>
          <w:sz w:val="24"/>
          <w:szCs w:val="24"/>
        </w:rPr>
        <w:t xml:space="preserve"> рублей. </w:t>
      </w:r>
    </w:p>
    <w:p>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Выделенные средства были направлены на развитие сферы культуры, включая: </w:t>
      </w:r>
      <w:r>
        <w:rPr>
          <w:rFonts w:ascii="Times New Roman" w:hAnsi="Times New Roman" w:cs="Times New Roman"/>
          <w:color w:val="000000" w:themeColor="text1"/>
          <w:sz w:val="24"/>
          <w:szCs w:val="24"/>
        </w:rPr>
        <w:t>создание модельной библиотеки, ремонт учреждений, комплектование библиотечных фондов, приобретение музыкальных инструментов, реализацию народного бюджета, инициативных проектов, народных инициатив, обеспечение первичных мер противопожарной безопасности.</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В рамках государственной программы Республики Коми «Развитие культуры» и национального проекта «Семья» Корткеросская районная детская школа искусств получила субсидию на обновление материально-технической базы. На общую сумму 4 277 340,78 рублей были приобретены новые музыкальные инструменты, современное оборудование и учебные материалы. Финансирование проекта осуществлялось из федерального бюджета (3 869 975 рублей) и республиканского бюджета (203 682,89 рублей).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В 2025 году благодаря инициативному проекту проведен ремонт здания Намского филиала МУ «Корткеросская ЦБС» (библиотека п. Намск). Бюджет проекта </w:t>
      </w:r>
      <w:proofErr w:type="gramStart"/>
      <w:r>
        <w:rPr>
          <w:rFonts w:ascii="Times New Roman" w:hAnsi="Times New Roman" w:cs="Times New Roman"/>
          <w:sz w:val="24"/>
          <w:szCs w:val="24"/>
        </w:rPr>
        <w:t>составил  1</w:t>
      </w:r>
      <w:proofErr w:type="gramEnd"/>
      <w:r>
        <w:rPr>
          <w:rFonts w:ascii="Times New Roman" w:hAnsi="Times New Roman" w:cs="Times New Roman"/>
          <w:sz w:val="24"/>
          <w:szCs w:val="24"/>
        </w:rPr>
        <w:t xml:space="preserve"> 282 436 рублей.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Народные инициативы обеспечили существенные улучшения в учреждениях культуры Корткеросского района. Общий бюджет проектов составил 3 429716 рублей. В МБУ «Корткеросский ЦКД» обновлен зрительный зал (покраска стен, установка декоративных решеток) и отремонтирована художественная мастерская. Для удобства посетителей в этом же здании установлен турникет.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В Доме культуры села Мордино проведен ремонт потолка в зрительном зале. Важным шагом стало подведение водоснабжения к зданию МУ «Корткеросский районный историко-краеведческий музей».</w:t>
      </w:r>
      <w:r>
        <w:rPr>
          <w:rFonts w:ascii="Times New Roman" w:hAnsi="Times New Roman" w:cs="Times New Roman"/>
          <w:sz w:val="24"/>
          <w:szCs w:val="24"/>
        </w:rPr>
        <w:t xml:space="preserve"> Инициативы также коснулись сохранения культурного наследия: </w:t>
      </w:r>
      <w:r>
        <w:rPr>
          <w:rFonts w:ascii="Times New Roman" w:eastAsia="Times New Roman" w:hAnsi="Times New Roman" w:cs="Times New Roman"/>
          <w:sz w:val="24"/>
          <w:szCs w:val="24"/>
        </w:rPr>
        <w:t xml:space="preserve">увековечена память первой детской коми писательницы Агнии Сухановой – в селе Вомын установлен памятный знак. А на трассе Сыктывкар - Троицко-Печорск появился новый въездной знак «Корткеросский район». </w:t>
      </w:r>
    </w:p>
    <w:p>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рамках реализации проекта «Народный бюджет» были успешно проведены ремонтные работы в учреждениях культуры. В частности, осуществлен ремонт кровли Дома культуры села Большелуг на общую сумму 1 238300 рублей. Также проведен ремонт здания клуба села Додзь, стоимость которого составила 1 145200 рублей.</w:t>
      </w:r>
    </w:p>
    <w:p>
      <w:pPr>
        <w:spacing w:after="0" w:line="240" w:lineRule="auto"/>
        <w:ind w:firstLine="709"/>
        <w:jc w:val="both"/>
        <w:rPr>
          <w:rFonts w:ascii="Times New Roman" w:eastAsia="Calibri" w:hAnsi="Times New Roman" w:cs="Times New Roman"/>
          <w:bCs/>
          <w:color w:val="000000" w:themeColor="text1"/>
          <w:kern w:val="24"/>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В отчётном году, благодаря социальному партнёрству с АО «Сыктывкарский ЛПК», на развитие сферы культуры было направлено 899 000 рублей. Эти средства позволили провести ремонтные работы Сторожевском филиале МУ «Корткеросская ЦБС» и обустроить санитарную комнату в клубе деревни </w:t>
      </w:r>
      <w:proofErr w:type="spellStart"/>
      <w:r>
        <w:rPr>
          <w:rFonts w:ascii="Times New Roman" w:hAnsi="Times New Roman" w:cs="Times New Roman"/>
          <w:sz w:val="24"/>
          <w:szCs w:val="24"/>
        </w:rPr>
        <w:t>Зулэб</w:t>
      </w:r>
      <w:proofErr w:type="spellEnd"/>
      <w:r>
        <w:rPr>
          <w:rFonts w:ascii="Times New Roman" w:eastAsia="Calibri" w:hAnsi="Times New Roman" w:cs="Times New Roman"/>
          <w:bCs/>
          <w:color w:val="000000" w:themeColor="text1"/>
          <w:kern w:val="24"/>
          <w:sz w:val="24"/>
          <w:szCs w:val="24"/>
        </w:rPr>
        <w:t>.</w:t>
      </w:r>
    </w:p>
    <w:p>
      <w:pPr>
        <w:spacing w:after="0"/>
        <w:ind w:firstLine="709"/>
        <w:jc w:val="center"/>
        <w:rPr>
          <w:rFonts w:ascii="Times New Roman" w:hAnsi="Times New Roman" w:cs="Times New Roman"/>
          <w:b/>
          <w:color w:val="000000"/>
          <w:sz w:val="24"/>
          <w:szCs w:val="24"/>
        </w:rPr>
      </w:pPr>
    </w:p>
    <w:p>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НАЦИОНАЛЬНАЯ ПОЛИТИКА </w:t>
      </w:r>
    </w:p>
    <w:p>
      <w:pPr>
        <w:spacing w:after="0"/>
        <w:ind w:firstLine="709"/>
        <w:jc w:val="center"/>
        <w:rPr>
          <w:rFonts w:ascii="Times New Roman" w:hAnsi="Times New Roman" w:cs="Times New Roman"/>
          <w:b/>
          <w:sz w:val="24"/>
          <w:szCs w:val="24"/>
        </w:rPr>
      </w:pPr>
    </w:p>
    <w:p>
      <w:pPr>
        <w:tabs>
          <w:tab w:val="left" w:pos="993"/>
          <w:tab w:val="left" w:pos="8222"/>
          <w:tab w:val="left" w:pos="9355"/>
        </w:tabs>
        <w:spacing w:after="0"/>
        <w:ind w:right="-113"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рамках реализации государственной национальной политики на территории муниципального района «Корткеросский» учреждениями культуры в 2025 году проведено </w:t>
      </w:r>
      <w:r>
        <w:rPr>
          <w:rFonts w:ascii="Times New Roman" w:hAnsi="Times New Roman" w:cs="Times New Roman"/>
          <w:color w:val="000000" w:themeColor="text1"/>
          <w:sz w:val="24"/>
          <w:szCs w:val="24"/>
          <w:shd w:val="clear" w:color="auto" w:fill="FFFFFF" w:themeFill="background1"/>
        </w:rPr>
        <w:t>1104</w:t>
      </w:r>
      <w:r>
        <w:rPr>
          <w:rFonts w:ascii="Times New Roman" w:hAnsi="Times New Roman" w:cs="Times New Roman"/>
          <w:color w:val="000000" w:themeColor="text1"/>
          <w:sz w:val="24"/>
          <w:szCs w:val="24"/>
        </w:rPr>
        <w:t xml:space="preserve">  мероприятия, </w:t>
      </w:r>
      <w:r>
        <w:rPr>
          <w:rFonts w:ascii="Times New Roman" w:hAnsi="Times New Roman" w:cs="Times New Roman"/>
          <w:sz w:val="24"/>
          <w:szCs w:val="24"/>
        </w:rPr>
        <w:t xml:space="preserve">направленных на укрепление российской гражданской идентичности на основе духовно-нравственных и культурных ценностей, а также направленных на укрепление общероссийского гражданского единства,  с охватом </w:t>
      </w:r>
      <w:r>
        <w:rPr>
          <w:rFonts w:ascii="Times New Roman" w:hAnsi="Times New Roman" w:cs="Times New Roman"/>
          <w:sz w:val="24"/>
          <w:szCs w:val="24"/>
          <w:shd w:val="clear" w:color="auto" w:fill="FFFFFF" w:themeFill="background1"/>
        </w:rPr>
        <w:t>27754</w:t>
      </w:r>
      <w:r>
        <w:rPr>
          <w:rFonts w:ascii="Times New Roman" w:hAnsi="Times New Roman" w:cs="Times New Roman"/>
          <w:sz w:val="24"/>
          <w:szCs w:val="24"/>
        </w:rPr>
        <w:t xml:space="preserve"> человек, в том числе </w:t>
      </w:r>
      <w:r>
        <w:rPr>
          <w:rFonts w:ascii="Times New Roman" w:hAnsi="Times New Roman" w:cs="Times New Roman"/>
          <w:color w:val="000000" w:themeColor="text1"/>
          <w:sz w:val="24"/>
          <w:szCs w:val="24"/>
          <w:shd w:val="clear" w:color="auto" w:fill="FFFFFF" w:themeFill="background1"/>
        </w:rPr>
        <w:lastRenderedPageBreak/>
        <w:t xml:space="preserve">723  </w:t>
      </w:r>
      <w:r>
        <w:rPr>
          <w:rFonts w:ascii="Times New Roman" w:hAnsi="Times New Roman" w:cs="Times New Roman"/>
          <w:color w:val="000000" w:themeColor="text1"/>
          <w:sz w:val="24"/>
          <w:szCs w:val="24"/>
        </w:rPr>
        <w:t xml:space="preserve">мероприятий, направленных на этнокультурное развитие народов России с охватом населения </w:t>
      </w:r>
      <w:r>
        <w:rPr>
          <w:rFonts w:ascii="Times New Roman" w:hAnsi="Times New Roman" w:cs="Times New Roman"/>
          <w:color w:val="000000" w:themeColor="text1"/>
          <w:sz w:val="24"/>
          <w:szCs w:val="24"/>
          <w:shd w:val="clear" w:color="auto" w:fill="FFFFFF" w:themeFill="background1"/>
        </w:rPr>
        <w:t xml:space="preserve">17 550 </w:t>
      </w:r>
      <w:r>
        <w:rPr>
          <w:rFonts w:ascii="Times New Roman" w:hAnsi="Times New Roman" w:cs="Times New Roman"/>
          <w:color w:val="000000" w:themeColor="text1"/>
          <w:sz w:val="24"/>
          <w:szCs w:val="24"/>
        </w:rPr>
        <w:t xml:space="preserve">человек.  </w:t>
      </w:r>
    </w:p>
    <w:p>
      <w:pPr>
        <w:tabs>
          <w:tab w:val="left" w:pos="993"/>
          <w:tab w:val="left" w:pos="8222"/>
          <w:tab w:val="left" w:pos="9355"/>
        </w:tabs>
        <w:spacing w:after="0" w:line="240" w:lineRule="auto"/>
        <w:ind w:right="-113"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Знаковые проекты и мероприятия в области этнокультурного развития народов, проживающих на территории Республики Коми в муниципальном районе «Корткеросский», реализованные в 2025 году: </w:t>
      </w:r>
      <w:proofErr w:type="spellStart"/>
      <w:r>
        <w:rPr>
          <w:rFonts w:ascii="Times New Roman" w:hAnsi="Times New Roman" w:cs="Times New Roman"/>
          <w:color w:val="000000" w:themeColor="text1"/>
          <w:sz w:val="24"/>
          <w:szCs w:val="24"/>
        </w:rPr>
        <w:t>межпоселенческая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Афанасьевская</w:t>
      </w:r>
      <w:proofErr w:type="spellEnd"/>
      <w:r>
        <w:rPr>
          <w:rFonts w:ascii="Times New Roman" w:hAnsi="Times New Roman" w:cs="Times New Roman"/>
          <w:color w:val="000000" w:themeColor="text1"/>
          <w:sz w:val="24"/>
          <w:szCs w:val="24"/>
        </w:rPr>
        <w:t xml:space="preserve"> ярмарка в с. Нёбдино, цикл мероприятий православной тематики «Сретенские встречи», ежегодная районная конференция коми народа, </w:t>
      </w:r>
      <w:proofErr w:type="spellStart"/>
      <w:r>
        <w:rPr>
          <w:rFonts w:ascii="Times New Roman" w:hAnsi="Times New Roman" w:cs="Times New Roman"/>
          <w:color w:val="000000" w:themeColor="text1"/>
          <w:sz w:val="24"/>
          <w:szCs w:val="24"/>
        </w:rPr>
        <w:t>этнофестиваль</w:t>
      </w:r>
      <w:proofErr w:type="spellEnd"/>
      <w:r>
        <w:rPr>
          <w:rFonts w:ascii="Times New Roman" w:hAnsi="Times New Roman" w:cs="Times New Roman"/>
          <w:color w:val="000000" w:themeColor="text1"/>
          <w:sz w:val="24"/>
          <w:szCs w:val="24"/>
        </w:rPr>
        <w:t xml:space="preserve"> «Лес» в </w:t>
      </w:r>
      <w:proofErr w:type="spellStart"/>
      <w:r>
        <w:rPr>
          <w:rFonts w:ascii="Times New Roman" w:hAnsi="Times New Roman" w:cs="Times New Roman"/>
          <w:color w:val="000000" w:themeColor="text1"/>
          <w:sz w:val="24"/>
          <w:szCs w:val="24"/>
        </w:rPr>
        <w:t>с.Мордино</w:t>
      </w:r>
      <w:proofErr w:type="spellEnd"/>
      <w:r>
        <w:rPr>
          <w:rFonts w:ascii="Times New Roman" w:hAnsi="Times New Roman" w:cs="Times New Roman"/>
          <w:color w:val="000000" w:themeColor="text1"/>
          <w:sz w:val="24"/>
          <w:szCs w:val="24"/>
        </w:rPr>
        <w:t>, фестиваль декоративно-прикладного творчества «</w:t>
      </w:r>
      <w:proofErr w:type="spellStart"/>
      <w:r>
        <w:rPr>
          <w:rFonts w:ascii="Times New Roman" w:hAnsi="Times New Roman" w:cs="Times New Roman"/>
          <w:color w:val="000000" w:themeColor="text1"/>
          <w:sz w:val="24"/>
          <w:szCs w:val="24"/>
        </w:rPr>
        <w:t>Зарни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куд</w:t>
      </w:r>
      <w:proofErr w:type="spellEnd"/>
      <w:r>
        <w:rPr>
          <w:rFonts w:ascii="Times New Roman" w:hAnsi="Times New Roman" w:cs="Times New Roman"/>
          <w:color w:val="000000" w:themeColor="text1"/>
          <w:sz w:val="24"/>
          <w:szCs w:val="24"/>
        </w:rPr>
        <w:t xml:space="preserve">» в д.Зулэб. </w:t>
      </w:r>
    </w:p>
    <w:p>
      <w:pPr>
        <w:spacing w:after="0"/>
        <w:ind w:firstLine="709"/>
        <w:jc w:val="center"/>
        <w:rPr>
          <w:rFonts w:ascii="Times New Roman" w:eastAsia="Calibri" w:hAnsi="Times New Roman" w:cs="Times New Roman"/>
          <w:b/>
          <w:color w:val="000000" w:themeColor="text1"/>
          <w:sz w:val="24"/>
          <w:szCs w:val="24"/>
        </w:rPr>
      </w:pPr>
    </w:p>
    <w:p>
      <w:pPr>
        <w:spacing w:after="0"/>
        <w:jc w:val="center"/>
        <w:rPr>
          <w:rFonts w:ascii="Times New Roman" w:hAnsi="Times New Roman" w:cs="Times New Roman"/>
          <w:b/>
          <w:sz w:val="24"/>
          <w:szCs w:val="24"/>
        </w:rPr>
      </w:pPr>
      <w:r>
        <w:rPr>
          <w:rFonts w:ascii="Times New Roman" w:eastAsia="Calibri" w:hAnsi="Times New Roman" w:cs="Times New Roman"/>
          <w:b/>
          <w:color w:val="000000" w:themeColor="text1"/>
          <w:sz w:val="24"/>
          <w:szCs w:val="24"/>
        </w:rPr>
        <w:t>ТУРИЗМ</w:t>
      </w:r>
    </w:p>
    <w:p>
      <w:pPr>
        <w:tabs>
          <w:tab w:val="left" w:pos="993"/>
        </w:tabs>
        <w:spacing w:after="0" w:line="240" w:lineRule="auto"/>
        <w:ind w:firstLine="709"/>
        <w:jc w:val="both"/>
        <w:rPr>
          <w:rFonts w:ascii="Times New Roman" w:eastAsia="Calibri" w:hAnsi="Times New Roman" w:cs="Times New Roman"/>
          <w:sz w:val="24"/>
          <w:szCs w:val="24"/>
          <w:highlight w:val="yellow"/>
        </w:rPr>
      </w:pPr>
      <w:r>
        <w:rPr>
          <w:rFonts w:ascii="Times New Roman" w:eastAsia="Calibri" w:hAnsi="Times New Roman" w:cs="Times New Roman"/>
          <w:sz w:val="24"/>
          <w:szCs w:val="24"/>
          <w:highlight w:val="yellow"/>
        </w:rPr>
        <w:t xml:space="preserve">         </w:t>
      </w:r>
    </w:p>
    <w:p>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2025 году Туристским информационным центром Корткеросского района было организовано 93 экскурсии с целью презентации </w:t>
      </w:r>
      <w:proofErr w:type="spellStart"/>
      <w:r>
        <w:rPr>
          <w:rFonts w:ascii="Times New Roman" w:hAnsi="Times New Roman" w:cs="Times New Roman"/>
          <w:sz w:val="24"/>
          <w:szCs w:val="24"/>
        </w:rPr>
        <w:t>туристких</w:t>
      </w:r>
      <w:proofErr w:type="spellEnd"/>
      <w:r>
        <w:rPr>
          <w:rFonts w:ascii="Times New Roman" w:hAnsi="Times New Roman" w:cs="Times New Roman"/>
          <w:sz w:val="24"/>
          <w:szCs w:val="24"/>
        </w:rPr>
        <w:t xml:space="preserve"> ресурсов района. Общее количество посещений составило – </w:t>
      </w:r>
      <w:r>
        <w:rPr>
          <w:rFonts w:ascii="Times New Roman" w:hAnsi="Times New Roman" w:cs="Times New Roman"/>
          <w:sz w:val="24"/>
          <w:szCs w:val="24"/>
          <w:shd w:val="clear" w:color="auto" w:fill="FFFFFF" w:themeFill="background1"/>
        </w:rPr>
        <w:t>3389</w:t>
      </w:r>
      <w:r>
        <w:rPr>
          <w:rFonts w:ascii="Times New Roman" w:hAnsi="Times New Roman" w:cs="Times New Roman"/>
          <w:sz w:val="24"/>
          <w:szCs w:val="24"/>
        </w:rPr>
        <w:t xml:space="preserve"> человек. В отчетном году учреждением разработан туристический маршрут: «Село Небдино – «Виктор </w:t>
      </w:r>
      <w:proofErr w:type="spellStart"/>
      <w:r>
        <w:rPr>
          <w:rFonts w:ascii="Times New Roman" w:hAnsi="Times New Roman" w:cs="Times New Roman"/>
          <w:sz w:val="24"/>
          <w:szCs w:val="24"/>
        </w:rPr>
        <w:t>Савинлӧн</w:t>
      </w:r>
      <w:proofErr w:type="spellEnd"/>
      <w:r>
        <w:rPr>
          <w:rFonts w:ascii="Times New Roman" w:hAnsi="Times New Roman" w:cs="Times New Roman"/>
          <w:sz w:val="24"/>
          <w:szCs w:val="24"/>
        </w:rPr>
        <w:t xml:space="preserve"> чужан</w:t>
      </w:r>
      <w:proofErr w:type="spellStart"/>
      <w:r>
        <w:rPr>
          <w:rFonts w:ascii="Times New Roman" w:hAnsi="Times New Roman" w:cs="Times New Roman"/>
          <w:sz w:val="24"/>
          <w:szCs w:val="24"/>
          <w:lang w:val="en-US"/>
        </w:rPr>
        <w:t>i</w:t>
      </w:r>
      <w:proofErr w:type="spellEnd"/>
      <w:r>
        <w:rPr>
          <w:rFonts w:ascii="Times New Roman" w:hAnsi="Times New Roman" w:cs="Times New Roman"/>
          <w:sz w:val="24"/>
          <w:szCs w:val="24"/>
        </w:rPr>
        <w:t>н» («Родина Виктора Савина»)».</w:t>
      </w:r>
    </w:p>
    <w:p>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Наибольшим спросом в 2025 году пользовались маршруты в п.Подтыбок «</w:t>
      </w:r>
      <w:proofErr w:type="spellStart"/>
      <w:r>
        <w:rPr>
          <w:rFonts w:ascii="Times New Roman" w:hAnsi="Times New Roman" w:cs="Times New Roman"/>
          <w:sz w:val="24"/>
          <w:szCs w:val="24"/>
        </w:rPr>
        <w:t>Зарни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киа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аньяс</w:t>
      </w:r>
      <w:proofErr w:type="spellEnd"/>
      <w:r>
        <w:rPr>
          <w:rFonts w:ascii="Times New Roman" w:hAnsi="Times New Roman" w:cs="Times New Roman"/>
          <w:sz w:val="24"/>
          <w:szCs w:val="24"/>
        </w:rPr>
        <w:t xml:space="preserve">» («Мастеровые женщины»), с.Нившера «Менам </w:t>
      </w:r>
      <w:proofErr w:type="spellStart"/>
      <w:r>
        <w:rPr>
          <w:rFonts w:ascii="Times New Roman" w:hAnsi="Times New Roman" w:cs="Times New Roman"/>
          <w:sz w:val="24"/>
          <w:szCs w:val="24"/>
        </w:rPr>
        <w:t>сиктӧй</w:t>
      </w:r>
      <w:proofErr w:type="spellEnd"/>
      <w:r>
        <w:rPr>
          <w:rFonts w:ascii="Times New Roman" w:hAnsi="Times New Roman" w:cs="Times New Roman"/>
          <w:sz w:val="24"/>
          <w:szCs w:val="24"/>
        </w:rPr>
        <w:t>» («Деревенька моя»), с.Пезмег «Шагаем через прошлое в будущее» и по с.Корткерос «Путешествие по Корткеросскому району».</w:t>
      </w:r>
    </w:p>
    <w:p>
      <w:pPr>
        <w:spacing w:after="0"/>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На территории муниципалитета функционируют четыре субъекта </w:t>
      </w:r>
      <w:r>
        <w:rPr>
          <w:rFonts w:ascii="Times New Roman" w:hAnsi="Times New Roman" w:cs="Times New Roman"/>
          <w:sz w:val="24"/>
          <w:szCs w:val="24"/>
        </w:rPr>
        <w:t xml:space="preserve">предпринимательской деятельности, предоставляющие услуги в сфере туризма, отдыха и развлечений: </w:t>
      </w:r>
      <w:r>
        <w:rPr>
          <w:rFonts w:ascii="Times New Roman" w:eastAsia="Times New Roman" w:hAnsi="Times New Roman" w:cs="Times New Roman"/>
          <w:sz w:val="24"/>
          <w:szCs w:val="24"/>
        </w:rPr>
        <w:t>база отдыха "</w:t>
      </w:r>
      <w:proofErr w:type="spellStart"/>
      <w:r>
        <w:rPr>
          <w:rFonts w:ascii="Times New Roman" w:eastAsia="Times New Roman" w:hAnsi="Times New Roman" w:cs="Times New Roman"/>
          <w:sz w:val="24"/>
          <w:szCs w:val="24"/>
        </w:rPr>
        <w:t>Майбыр</w:t>
      </w:r>
      <w:proofErr w:type="spellEnd"/>
      <w:r>
        <w:rPr>
          <w:rFonts w:ascii="Times New Roman" w:eastAsia="Times New Roman" w:hAnsi="Times New Roman" w:cs="Times New Roman"/>
          <w:sz w:val="24"/>
          <w:szCs w:val="24"/>
        </w:rPr>
        <w:t>", база отдыха "У дяди Вани", база отдыха «Шишкин лес», база отдыха и туризма «Надежда»</w:t>
      </w:r>
      <w:r>
        <w:rPr>
          <w:rFonts w:ascii="Times New Roman" w:hAnsi="Times New Roman" w:cs="Times New Roman"/>
          <w:sz w:val="24"/>
          <w:szCs w:val="24"/>
        </w:rPr>
        <w:t xml:space="preserve">.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В рамках бюджетных ассигнований муниципального района «Корткеросский» для районной туристической базы «</w:t>
      </w:r>
      <w:proofErr w:type="spellStart"/>
      <w:r>
        <w:rPr>
          <w:rFonts w:ascii="Times New Roman" w:hAnsi="Times New Roman" w:cs="Times New Roman"/>
          <w:sz w:val="24"/>
          <w:szCs w:val="24"/>
        </w:rPr>
        <w:t>Югыд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эскöм</w:t>
      </w:r>
      <w:proofErr w:type="spellEnd"/>
      <w:r>
        <w:rPr>
          <w:rFonts w:ascii="Times New Roman" w:hAnsi="Times New Roman" w:cs="Times New Roman"/>
          <w:sz w:val="24"/>
          <w:szCs w:val="24"/>
        </w:rPr>
        <w:t xml:space="preserve">» в селе Пезмег была приобретена мебель и бытовая техника. В перечень приобретений вошли матрацы с постельными принадлежностями, бытовая техника и мебель. Общая сумма затрат составила 200 000 рублей.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Центром спортивных мероприятий Корткеросского района в 2025 году проведены традиционные туристические фестивали для людей старшего возраста, для педагогов и для людей с ограниченными возможностями здоровья. Общий охват составил 124 человек. </w:t>
      </w:r>
    </w:p>
    <w:p>
      <w:pPr>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Перспективным направлением в развитии туризма на территории Корткеросского района является «Событийный туризм». </w:t>
      </w:r>
    </w:p>
    <w:p>
      <w:pPr>
        <w:pStyle w:val="a8"/>
        <w:spacing w:before="0" w:beforeAutospacing="0" w:after="0" w:afterAutospacing="0" w:line="276" w:lineRule="auto"/>
        <w:ind w:firstLine="709"/>
        <w:jc w:val="both"/>
      </w:pPr>
      <w:r>
        <w:t xml:space="preserve">06 сентября 2026 года в старинном селе Пезмег успешно прошёл </w:t>
      </w:r>
      <w:r>
        <w:rPr>
          <w:lang w:val="en-US"/>
        </w:rPr>
        <w:t>I</w:t>
      </w:r>
      <w:r>
        <w:t>I гастрономический картофельный фестиваль «ПЕЧЕНЧА». Главным событием стал захватывающий конкурс на лучшие блюда из картофеля, где команды сельских поселений продемонстрировали свое мастерство.</w:t>
      </w:r>
    </w:p>
    <w:p>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Атмосферу настоящего праздника дополнили зажигательная живая музыка, задорные народные танцы, познавательные мастер-классы и колоритная выставка местных производителей</w:t>
      </w:r>
      <w:r>
        <w:rPr>
          <w:rFonts w:ascii="Times New Roman" w:hAnsi="Times New Roman" w:cs="Times New Roman"/>
          <w:sz w:val="24"/>
          <w:szCs w:val="24"/>
        </w:rPr>
        <w:t xml:space="preserve">. </w:t>
      </w:r>
    </w:p>
    <w:p>
      <w:pPr>
        <w:spacing w:after="0" w:line="240" w:lineRule="auto"/>
        <w:ind w:firstLine="567"/>
        <w:contextualSpacing/>
        <w:jc w:val="center"/>
        <w:rPr>
          <w:rFonts w:ascii="Times New Roman" w:eastAsia="Times New Roman" w:hAnsi="Times New Roman" w:cs="Times New Roman"/>
          <w:b/>
          <w:sz w:val="24"/>
          <w:szCs w:val="24"/>
          <w:highlight w:val="yellow"/>
          <w:lang w:eastAsia="ru-RU"/>
        </w:rPr>
      </w:pPr>
    </w:p>
    <w:p>
      <w:pPr>
        <w:spacing w:after="0" w:line="240" w:lineRule="auto"/>
        <w:ind w:firstLine="567"/>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ФИЗИЧЕСКАЯ КУЛЬТУРА И СПОРТ</w:t>
      </w:r>
    </w:p>
    <w:p>
      <w:pPr>
        <w:spacing w:after="0" w:line="240" w:lineRule="auto"/>
        <w:ind w:firstLine="567"/>
        <w:contextualSpacing/>
        <w:jc w:val="center"/>
        <w:rPr>
          <w:rFonts w:ascii="Times New Roman" w:eastAsia="Times New Roman" w:hAnsi="Times New Roman" w:cs="Times New Roman"/>
          <w:b/>
          <w:sz w:val="24"/>
          <w:szCs w:val="24"/>
          <w:highlight w:val="yellow"/>
          <w:lang w:eastAsia="ru-RU"/>
        </w:rPr>
      </w:pP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2025 году сохранена сеть учреждений спортивной направленности: функционировало 2 спортивных школы: «Корткеросская детско-юношеская школа» с отделениями в с.Корткерос, с. Большелуг, с. Богородск, с. Мордино, с.Сторожевск, с. Подъельск, с. Керес, п. Подтыбок, «Комплексная детско-юношеская школа с.Корткерос» и </w:t>
      </w:r>
      <w:r>
        <w:rPr>
          <w:rFonts w:ascii="Times New Roman" w:eastAsia="Times New Roman" w:hAnsi="Times New Roman" w:cs="Times New Roman"/>
          <w:sz w:val="24"/>
          <w:szCs w:val="24"/>
        </w:rPr>
        <w:lastRenderedPageBreak/>
        <w:t>«Центр спортивных мероприятий в Корткеросском районе», представленный также в с.Сторожевск, п.Подтыбок, с. Большелуг, п. Усть-Лэкчим, с. Маджа, с. Мордино, с. Корткерос, с. Богородск, п. Аджером.</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Численность обучающихся по видам спорта за 2025 года составила </w:t>
      </w:r>
      <w:r>
        <w:rPr>
          <w:rFonts w:ascii="Times New Roman" w:eastAsia="Times New Roman" w:hAnsi="Times New Roman" w:cs="Times New Roman"/>
          <w:color w:val="000000" w:themeColor="text1"/>
          <w:sz w:val="24"/>
          <w:szCs w:val="24"/>
        </w:rPr>
        <w:t>599</w:t>
      </w:r>
      <w:r>
        <w:rPr>
          <w:rFonts w:ascii="Times New Roman" w:eastAsia="Times New Roman" w:hAnsi="Times New Roman" w:cs="Times New Roman"/>
          <w:sz w:val="24"/>
          <w:szCs w:val="24"/>
        </w:rPr>
        <w:t xml:space="preserve"> человек в возрасте с 6 до 18 лет (2024 год с 602 человека). Подготовлено спортсменов, выполнивших спортивные и массовые разряды </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sz w:val="24"/>
          <w:szCs w:val="24"/>
        </w:rPr>
        <w:t xml:space="preserve">195 человека (в 2024 – 193 человека), присвоено званий – 1 мастер спорта. </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отчетном году действовало 73 спортивных объектов различной направленности. </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Численность систематически занимающихся физической культурой и спортом (двигательная активность) составила 9882 человека, в 2024 – 9783 человек. </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В 2025 году на территории района проведено 187 (155 за 2024 г.) спортивных мероприятия – 7772 участника (6447 участников за 2024 г.), также приняли участие в 73 республиканских мероприятия (595 участников) и 13 всероссийских соревнования - 36 участников.</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Важным направлением остается кадровая обеспеченность в спорте. </w:t>
      </w:r>
    </w:p>
    <w:p>
      <w:pPr>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Так, в</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«Корткеросской детско-юношеской спортивной школе» штатная численность составляет 17,38 ед. при штатной установленной численности 25,05 единиц. Вакансии – тренер по лыжным гонкам – 4,67; заместитель директора – 1; инструктор-методист – 1; тренер по биатлону – 0,25; уборщик служебных помещений – 0,75.</w:t>
      </w:r>
    </w:p>
    <w:p>
      <w:pPr>
        <w:spacing w:after="0" w:line="240" w:lineRule="auto"/>
        <w:ind w:firstLine="567"/>
        <w:jc w:val="both"/>
        <w:rPr>
          <w:rFonts w:ascii="Times New Roman" w:eastAsia="Times New Roman" w:hAnsi="Times New Roman" w:cs="Times New Roman"/>
          <w:color w:val="000000" w:themeColor="text1"/>
          <w:sz w:val="24"/>
          <w:szCs w:val="24"/>
          <w:u w:val="single"/>
        </w:rPr>
      </w:pPr>
      <w:r>
        <w:rPr>
          <w:rFonts w:ascii="Times New Roman" w:eastAsia="Times New Roman" w:hAnsi="Times New Roman" w:cs="Times New Roman"/>
          <w:color w:val="000000" w:themeColor="text1"/>
          <w:sz w:val="24"/>
          <w:szCs w:val="24"/>
        </w:rPr>
        <w:t>В «Комплексной детско-юношеской спортивной школе» штатная численность составляет 22,25 ед. при штатной установленной численности 23,5 единиц. Вакансии – заведующий хозяйством – 2,36; уборщик служебных помещений – 0,25.</w:t>
      </w:r>
    </w:p>
    <w:p>
      <w:pPr>
        <w:spacing w:after="0" w:line="240" w:lineRule="auto"/>
        <w:ind w:firstLine="567"/>
        <w:jc w:val="both"/>
        <w:rPr>
          <w:rFonts w:ascii="Times New Roman" w:eastAsia="Times New Roman" w:hAnsi="Times New Roman" w:cs="Times New Roman"/>
          <w:color w:val="000000" w:themeColor="text1"/>
          <w:sz w:val="24"/>
          <w:szCs w:val="24"/>
          <w:u w:val="single"/>
        </w:rPr>
      </w:pPr>
      <w:r>
        <w:rPr>
          <w:rFonts w:ascii="Times New Roman" w:eastAsia="Times New Roman" w:hAnsi="Times New Roman" w:cs="Times New Roman"/>
          <w:color w:val="000000" w:themeColor="text1"/>
          <w:sz w:val="24"/>
          <w:szCs w:val="24"/>
        </w:rPr>
        <w:t>В «Центре спортивных мероприятий» штатная численность составляет 22,2 ед. при штатной установленной численности 26,4 единиц. Вакансии – директор – 1; начальник отдела «ЦТ ВФСК «ГТО» – 1; инструктор по спорту – 1,25; уборщик служебных помещений – 0,45; рабочий – 0,25; электромонтер – 0,25.</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решения вопроса по комплектованию штата ежегодно осуществляется выезды в </w:t>
      </w:r>
      <w:r>
        <w:rPr>
          <w:rFonts w:ascii="Times New Roman" w:eastAsia="Times New Roman" w:hAnsi="Times New Roman" w:cs="Times New Roman"/>
          <w:iCs/>
          <w:sz w:val="24"/>
          <w:szCs w:val="24"/>
        </w:rPr>
        <w:t>ФГБОУВО «Сыктывкарский государственный университет имени Питирима Сорокина» и ГПОУ «Сыктывкарский гуманитарно-педагогический колледж имени И.А. Куратова» для приглашения на работу выпускников данного университета. Ежемесячно на сайт центра занятости выставляются вакансии.</w:t>
      </w:r>
    </w:p>
    <w:p>
      <w:pPr>
        <w:spacing w:after="0" w:line="240" w:lineRule="auto"/>
        <w:ind w:firstLine="567"/>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000000" w:themeColor="text1"/>
          <w:sz w:val="24"/>
          <w:szCs w:val="24"/>
        </w:rPr>
        <w:t>Средняя заработная плата по отрасли составила: 2023 – 36,6 тыс. рублей; 2024 – 44,9 тыс. рублей; 2025 год – 50,03 тыс. рублей.</w:t>
      </w:r>
      <w:r>
        <w:rPr>
          <w:rFonts w:ascii="Times New Roman" w:eastAsia="Times New Roman" w:hAnsi="Times New Roman" w:cs="Times New Roman"/>
          <w:color w:val="FF0000"/>
          <w:sz w:val="24"/>
          <w:szCs w:val="24"/>
        </w:rPr>
        <w:t xml:space="preserve"> </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Реализованы проекты «Народный бюджет»:</w:t>
      </w:r>
    </w:p>
    <w:p>
      <w:pPr>
        <w:spacing w:after="0" w:line="240" w:lineRule="auto"/>
        <w:ind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Установка крытой спортивной площадки с тренажерами круглогодичного использования с покрытием на территории сельского поселения «Намск»;</w:t>
      </w:r>
    </w:p>
    <w:p>
      <w:pPr>
        <w:spacing w:after="0" w:line="240" w:lineRule="auto"/>
        <w:ind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Мы выбираем спорт (капитальный ремонт спортивного клуба п. Подтыбок).</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Участие сборных команд Корткеросского района по видам спорта в республиканских круглогодичных Спартакиадах, достижения:</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место – в круглогодичной Спартакиаде «Старшее поколение» среди муниципальных образований Республики Коми; </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место – в круглогодичной Спартакиаде «Активное долголетие» муниципальных образований Республики Коми;</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 в круглогодичной Спартакиаде среди спортсменов с инвалидностью муниципальных образований Республики Коми;</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место – в круглогодичной Спартакиаде «Спорт на селе» среди муниципальных образований Республики Коми;</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место – в республиканской Спартакиаде учащихся образовательных учреждений «За здоровую РК в ХХI веке»;</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развитию базовых и опорных видов спорта утвержден план мероприятий, согласно которому строится работа в МБУДО «КДЮСШ», МБУДО «КДЮСШ Корткерос», МБУ «ЦСМ Корткеросского района».</w:t>
      </w:r>
    </w:p>
    <w:p>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 сегодняшний день проблемой остается кадровый дефицит (старение кадров) и отсутствие спортивных сооружений, полностью приспособленных для занятий физической культурой и спортом людей с инвалидностью. </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 2026 год:</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участие в конкурсах, проводимых Министерством физической культуры и спорта Республики Коми на получение субсидии направленных на развитие физической культуры и спорта; </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увеличение количества присвоенных спортивно-массовых разрядов в детско-юношеских спортивных школах;</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подготовка спортивного резерва для сборных команд по видам спорта Республики Коми;</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развитие массового спорта на территории района.</w:t>
      </w:r>
    </w:p>
    <w:p>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укрепление материально-технической базы учреждений спорта;</w:t>
      </w:r>
    </w:p>
    <w:p>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реализация проектов «Народный бюджет»</w:t>
      </w:r>
      <w:r>
        <w:rPr>
          <w:rFonts w:ascii="Times New Roman" w:eastAsia="Times New Roman" w:hAnsi="Times New Roman" w:cs="Times New Roman"/>
          <w:sz w:val="24"/>
          <w:szCs w:val="24"/>
          <w:lang w:eastAsia="ru-RU"/>
        </w:rPr>
        <w:t xml:space="preserve">. </w:t>
      </w:r>
    </w:p>
    <w:p>
      <w:pPr>
        <w:spacing w:after="0" w:line="240" w:lineRule="auto"/>
        <w:ind w:firstLine="567"/>
        <w:contextualSpacing/>
        <w:jc w:val="both"/>
        <w:rPr>
          <w:rFonts w:ascii="Times New Roman" w:eastAsia="Times New Roman" w:hAnsi="Times New Roman" w:cs="Times New Roman"/>
          <w:sz w:val="28"/>
          <w:szCs w:val="28"/>
          <w:highlight w:val="yellow"/>
          <w:lang w:eastAsia="ru-RU"/>
        </w:rPr>
      </w:pPr>
    </w:p>
    <w:p>
      <w:pPr>
        <w:pStyle w:val="aa"/>
        <w:spacing w:line="360" w:lineRule="auto"/>
        <w:jc w:val="center"/>
        <w:rPr>
          <w:rFonts w:ascii="Times New Roman" w:hAnsi="Times New Roman"/>
          <w:b/>
          <w:sz w:val="24"/>
          <w:szCs w:val="24"/>
        </w:rPr>
      </w:pPr>
      <w:r>
        <w:rPr>
          <w:rFonts w:ascii="Times New Roman" w:hAnsi="Times New Roman"/>
          <w:b/>
          <w:sz w:val="24"/>
          <w:szCs w:val="24"/>
        </w:rPr>
        <w:t>ДОРОЖНАЯ ДЕЯТЕЛЬНОСТЬ</w:t>
      </w:r>
    </w:p>
    <w:p>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 xml:space="preserve">  </w:t>
      </w:r>
      <w:r>
        <w:rPr>
          <w:rFonts w:ascii="Times New Roman" w:hAnsi="Times New Roman" w:cs="Times New Roman"/>
          <w:bCs/>
          <w:sz w:val="24"/>
          <w:szCs w:val="24"/>
        </w:rPr>
        <w:t xml:space="preserve">На ремонт и содержание автомобильных дорог общего пользования местного значения, а также ремонт наплавных мостов, перевозки пассажиров по муниципальным маршрутам и безопасность дорожного движения муниципального района «Корткеросский» в 2025 году было предусмотрено 63 285,8 тыс. руб. (в 2024 году – 58 131,9 тыс. руб.) в рамках программы «Развитие транспортной системы муниципального района «Корткеросский». </w:t>
      </w:r>
    </w:p>
    <w:p>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Объем дорожного фонда в 2025 году составил 43,08 млн. руб. (в 2024 году составил 42,5 млн. руб.).</w:t>
      </w:r>
    </w:p>
    <w:p>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За счет средств дорожного фонда в 2025 году отремонтировано 1 200 </w:t>
      </w:r>
      <w:proofErr w:type="spellStart"/>
      <w:r>
        <w:rPr>
          <w:rFonts w:ascii="Times New Roman" w:hAnsi="Times New Roman" w:cs="Times New Roman"/>
          <w:bCs/>
          <w:sz w:val="24"/>
          <w:szCs w:val="24"/>
        </w:rPr>
        <w:t>кв.м</w:t>
      </w:r>
      <w:proofErr w:type="spellEnd"/>
      <w:r>
        <w:rPr>
          <w:rFonts w:ascii="Times New Roman" w:hAnsi="Times New Roman" w:cs="Times New Roman"/>
          <w:bCs/>
          <w:sz w:val="24"/>
          <w:szCs w:val="24"/>
        </w:rPr>
        <w:t xml:space="preserve">. асфальтобетонного покрытия на автомобильных дорогах общего пользования местного значения, в 2024 году отремонтировано 12 600 кв. м. </w:t>
      </w:r>
    </w:p>
    <w:p>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В 2024 году в области дорожной деятельности было реализовано 2 проекта на общую сумму 6 851 тыс. руб. (в 2024 году реализованы 3 проекта "Народный бюджет" на сумму 9 069,3 тыс. руб.). На 2026 год запланированы к реализации 2 проекта.</w:t>
      </w:r>
    </w:p>
    <w:p>
      <w:pPr>
        <w:spacing w:after="0" w:line="240" w:lineRule="auto"/>
        <w:ind w:firstLine="709"/>
        <w:jc w:val="both"/>
        <w:rPr>
          <w:rFonts w:ascii="Times New Roman" w:hAnsi="Times New Roman" w:cs="Times New Roman"/>
          <w:bCs/>
          <w:sz w:val="24"/>
          <w:szCs w:val="24"/>
        </w:rPr>
      </w:pPr>
      <w:r>
        <w:rPr>
          <w:rFonts w:ascii="Times New Roman" w:hAnsi="Times New Roman" w:cs="Times New Roman"/>
          <w:bCs/>
          <w:color w:val="FF0000"/>
          <w:sz w:val="24"/>
          <w:szCs w:val="24"/>
        </w:rPr>
        <w:t xml:space="preserve"> </w:t>
      </w:r>
      <w:r>
        <w:rPr>
          <w:rFonts w:ascii="Times New Roman" w:hAnsi="Times New Roman" w:cs="Times New Roman"/>
          <w:bCs/>
          <w:sz w:val="24"/>
          <w:szCs w:val="24"/>
        </w:rPr>
        <w:t>В рамках реализации мероприятий по безопасности дорожного движения, за счёт средств местного бюджета, в летний период 2025 года выполнены работы по нанесению дорожной разметки, общей протяжённостью 26,2 км. на сумму 750,0 тыс. руб. (в 2024 году - 27,7 км. на сумму 900,0 тыс. руб.), в надлежащем состоянии поддерживались пешеходные переходы и светофоры. На 2026 год запланированы работы по нанесению дорожной разметки, общей протяжённостью 26,2 км. на сумму 900,0 тыс. руб.</w:t>
      </w:r>
    </w:p>
    <w:p>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В рамках реализации проекта «Народные инициативы» в 2025 году оборудованы 3 остановочных комплекса в СП «Сторожевск», СП «Додзь», СП «Вомын» на сумму 1,2 млн. руб.</w:t>
      </w:r>
    </w:p>
    <w:p>
      <w:pPr>
        <w:spacing w:after="0" w:line="240" w:lineRule="auto"/>
        <w:ind w:firstLine="709"/>
        <w:jc w:val="both"/>
        <w:rPr>
          <w:rFonts w:ascii="Times New Roman" w:hAnsi="Times New Roman" w:cs="Times New Roman"/>
          <w:bCs/>
          <w:color w:val="00B050"/>
          <w:sz w:val="24"/>
          <w:szCs w:val="24"/>
        </w:rPr>
      </w:pPr>
      <w:r>
        <w:rPr>
          <w:rFonts w:ascii="Times New Roman" w:hAnsi="Times New Roman" w:cs="Times New Roman"/>
          <w:bCs/>
          <w:sz w:val="24"/>
          <w:szCs w:val="24"/>
        </w:rPr>
        <w:t xml:space="preserve">На автобусную перевозку пассажиров и багажа по муниципальным маршрутам муниципального района «Корткеросский» в 2025 году было израсходовано 17,059 млн. руб. (14,4 млн. руб. в 2024 году), были сохранены все действующие маршруты. Кроме этого, в связи с поступающими обращениями граждан был сохранен дополнительный рейс по маршруту «Корткерос-Уръель-Корткерос». </w:t>
      </w:r>
    </w:p>
    <w:p>
      <w:pPr>
        <w:spacing w:after="0" w:line="240" w:lineRule="auto"/>
        <w:ind w:firstLine="567"/>
        <w:jc w:val="both"/>
        <w:rPr>
          <w:rFonts w:ascii="Times New Roman" w:hAnsi="Times New Roman" w:cs="Times New Roman"/>
          <w:sz w:val="24"/>
          <w:szCs w:val="24"/>
          <w:highlight w:val="yellow"/>
        </w:rPr>
      </w:pPr>
    </w:p>
    <w:p>
      <w:pPr>
        <w:spacing w:after="0" w:line="240" w:lineRule="auto"/>
        <w:jc w:val="center"/>
        <w:rPr>
          <w:rFonts w:ascii="Times New Roman" w:hAnsi="Times New Roman"/>
          <w:b/>
          <w:sz w:val="24"/>
          <w:szCs w:val="24"/>
        </w:rPr>
      </w:pPr>
      <w:r>
        <w:rPr>
          <w:rFonts w:ascii="Times New Roman" w:hAnsi="Times New Roman"/>
          <w:b/>
          <w:sz w:val="24"/>
          <w:szCs w:val="24"/>
        </w:rPr>
        <w:t>ЖИЛИЩНО-КОММУНАЛЬНОЕ ХОЗЯЙСТВО</w:t>
      </w:r>
    </w:p>
    <w:p>
      <w:pPr>
        <w:pStyle w:val="aa"/>
        <w:ind w:firstLine="426"/>
        <w:jc w:val="center"/>
        <w:rPr>
          <w:rFonts w:ascii="Times New Roman" w:hAnsi="Times New Roman"/>
          <w:b/>
          <w:sz w:val="24"/>
          <w:szCs w:val="24"/>
          <w:highlight w:val="yellow"/>
        </w:rPr>
      </w:pPr>
    </w:p>
    <w:p>
      <w:pPr>
        <w:pStyle w:val="aa"/>
        <w:ind w:firstLine="709"/>
        <w:jc w:val="both"/>
        <w:rPr>
          <w:rFonts w:ascii="Times New Roman" w:hAnsi="Times New Roman"/>
          <w:sz w:val="24"/>
          <w:szCs w:val="24"/>
        </w:rPr>
      </w:pPr>
      <w:r>
        <w:rPr>
          <w:rFonts w:ascii="Times New Roman" w:hAnsi="Times New Roman"/>
          <w:sz w:val="24"/>
          <w:szCs w:val="24"/>
        </w:rPr>
        <w:t xml:space="preserve">В 2025 году муниципальный район «Корткеросский» получил паспорт готовности к работе в зимних условиях. </w:t>
      </w:r>
    </w:p>
    <w:p>
      <w:pPr>
        <w:pStyle w:val="aa"/>
        <w:ind w:firstLine="709"/>
        <w:jc w:val="both"/>
        <w:rPr>
          <w:rFonts w:ascii="Times New Roman" w:hAnsi="Times New Roman"/>
          <w:sz w:val="24"/>
          <w:szCs w:val="24"/>
        </w:rPr>
      </w:pPr>
      <w:r>
        <w:rPr>
          <w:rFonts w:ascii="Times New Roman" w:hAnsi="Times New Roman"/>
          <w:sz w:val="24"/>
          <w:szCs w:val="24"/>
        </w:rPr>
        <w:t xml:space="preserve">Корткеросским филиалом АО «Коми тепловая компания» в 2025 году проведены работы по модернизации котельных. В п. Визябож завезено оборудование для установки блочно-модульной газовой котельной.  Строительство блочно-модульных котельных в с. </w:t>
      </w:r>
      <w:r>
        <w:rPr>
          <w:rFonts w:ascii="Times New Roman" w:hAnsi="Times New Roman"/>
          <w:sz w:val="24"/>
          <w:szCs w:val="24"/>
        </w:rPr>
        <w:lastRenderedPageBreak/>
        <w:t>Мордино и п. Аджером выполнено на 75%, в п. Подтыбок - на 25 %, в с. Сторожевск на 10 %. В 2026 году запланировано завершение строительства данных блочно-модульных котельных.</w:t>
      </w:r>
    </w:p>
    <w:p>
      <w:pPr>
        <w:pStyle w:val="aa"/>
        <w:ind w:firstLine="709"/>
        <w:jc w:val="both"/>
        <w:rPr>
          <w:rFonts w:ascii="Times New Roman" w:hAnsi="Times New Roman"/>
          <w:sz w:val="24"/>
          <w:szCs w:val="24"/>
        </w:rPr>
      </w:pPr>
      <w:r>
        <w:rPr>
          <w:rFonts w:ascii="Times New Roman" w:hAnsi="Times New Roman"/>
          <w:sz w:val="24"/>
          <w:szCs w:val="24"/>
        </w:rPr>
        <w:t xml:space="preserve">В 2025 году в рамках проекта «Народный бюджет» был реализован 1 проект по направлению «обустройство источников холодного водоснабжения» на территории сельского поселений «Намск» на общую сумму – 1,003 млн. руб. В 2026 году по данному направлению проектов не запланировано.  </w:t>
      </w:r>
    </w:p>
    <w:p>
      <w:pPr>
        <w:pStyle w:val="aa"/>
        <w:ind w:firstLine="426"/>
        <w:jc w:val="both"/>
        <w:rPr>
          <w:rFonts w:ascii="Times New Roman" w:hAnsi="Times New Roman"/>
          <w:sz w:val="24"/>
          <w:szCs w:val="24"/>
        </w:rPr>
      </w:pPr>
      <w:r>
        <w:rPr>
          <w:rFonts w:ascii="Times New Roman" w:hAnsi="Times New Roman"/>
          <w:sz w:val="24"/>
          <w:szCs w:val="24"/>
        </w:rPr>
        <w:t xml:space="preserve">  В целях реализации государственного полномочия по обеспечению жильем отдельных категорий граждан (дети-сироты) в 2025 году предоставлено 4 благоустроенных жилых помещений и 1 выплата на приобретение благоустроенного жилого помещения в собственность. Кроме этого произведен ремонт 1 жилого помещения, предназначенного для обеспечения жильем указанной категории граждан. Показатели результативности, предусмотренные Соглашением, заключенным между Министерством строительства и жилищно-коммунального хозяйства Республики Коми и администрацией МР «Корткеросский» в 2025 году достигнуты в полном объеме.  В 2026 году жилыми помещениями планируется обеспечить 7 человек из категории детей-сирот в соответствии с Соглашением.</w:t>
      </w:r>
    </w:p>
    <w:p>
      <w:pPr>
        <w:pStyle w:val="aa"/>
        <w:ind w:firstLine="426"/>
        <w:jc w:val="center"/>
        <w:rPr>
          <w:rFonts w:ascii="Times New Roman" w:hAnsi="Times New Roman"/>
          <w:b/>
          <w:sz w:val="24"/>
          <w:szCs w:val="24"/>
          <w:highlight w:val="yellow"/>
        </w:rPr>
      </w:pPr>
    </w:p>
    <w:p>
      <w:pPr>
        <w:jc w:val="center"/>
        <w:rPr>
          <w:rFonts w:ascii="Times New Roman" w:hAnsi="Times New Roman" w:cs="Times New Roman"/>
          <w:b/>
          <w:sz w:val="24"/>
          <w:szCs w:val="24"/>
        </w:rPr>
      </w:pPr>
      <w:r>
        <w:rPr>
          <w:rFonts w:ascii="Times New Roman" w:hAnsi="Times New Roman" w:cs="Times New Roman"/>
          <w:b/>
          <w:sz w:val="24"/>
          <w:szCs w:val="24"/>
        </w:rPr>
        <w:t>БЛАГОУСТРОЙСТВО</w:t>
      </w:r>
    </w:p>
    <w:p>
      <w:pPr>
        <w:tabs>
          <w:tab w:val="left" w:pos="5812"/>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В 2025 году администрациями сельских поселений реализовано 3 проекта в сфере благоустройства и 1 проект в сфере занятости в рамках проекта «Народный бюджет» (в 2024 году – 4 проекта). В 2026 году по данному направлению проектов не запланировано. </w:t>
      </w:r>
    </w:p>
    <w:p>
      <w:pPr>
        <w:spacing w:after="0" w:line="240" w:lineRule="auto"/>
        <w:ind w:firstLine="851"/>
        <w:jc w:val="both"/>
        <w:rPr>
          <w:rFonts w:ascii="Times New Roman" w:hAnsi="Times New Roman"/>
          <w:sz w:val="24"/>
          <w:szCs w:val="24"/>
        </w:rPr>
      </w:pPr>
      <w:r>
        <w:rPr>
          <w:rFonts w:ascii="Times New Roman" w:hAnsi="Times New Roman"/>
          <w:sz w:val="24"/>
          <w:szCs w:val="24"/>
        </w:rPr>
        <w:t>В 2025 году были ликвидированы 2 несанкционированные свалки: в д. Важкурья, с. Богородск (за 2023 год на территории района были ликвидированы 2 несанкционированная свалка: в п. Усть-Лэкчим, п. Аджером), ведутся работы по ликвидации свалок в с. Мордино, с. Сторожевск. По результатам инженерно-геологических испытаний, проведенных в 2025 году ООО «Землемер» об отсутствии необходимости в проведении рекультивации земель «исторически сложившейся» свалки в с. Корткерос.</w:t>
      </w:r>
    </w:p>
    <w:p>
      <w:pPr>
        <w:pStyle w:val="aa"/>
        <w:ind w:firstLine="709"/>
        <w:jc w:val="both"/>
        <w:rPr>
          <w:rFonts w:ascii="Times New Roman" w:hAnsi="Times New Roman"/>
          <w:sz w:val="24"/>
          <w:szCs w:val="24"/>
        </w:rPr>
      </w:pPr>
      <w:r>
        <w:rPr>
          <w:rFonts w:ascii="Times New Roman" w:hAnsi="Times New Roman"/>
          <w:sz w:val="24"/>
          <w:szCs w:val="24"/>
        </w:rPr>
        <w:t xml:space="preserve">Мероприятия по уничтожению борщевика проведены в 2025 году на территории площадью 20,86 Га (2024 году на территории площадью 18,1 Га). Работы по скашиванию проводились 2 раза за летний период.  </w:t>
      </w:r>
    </w:p>
    <w:p>
      <w:pPr>
        <w:pStyle w:val="aa"/>
        <w:ind w:firstLine="709"/>
        <w:jc w:val="both"/>
        <w:rPr>
          <w:rFonts w:ascii="Times New Roman" w:hAnsi="Times New Roman"/>
          <w:sz w:val="24"/>
          <w:szCs w:val="24"/>
        </w:rPr>
      </w:pPr>
      <w:r>
        <w:rPr>
          <w:rFonts w:ascii="Times New Roman" w:hAnsi="Times New Roman"/>
          <w:sz w:val="24"/>
          <w:szCs w:val="24"/>
        </w:rPr>
        <w:t xml:space="preserve">В 2025 году в рамках реализации государственного полномочия по обращению с животными без владельцев отловлено 11 особей животных без владельцев (в 2024 году –13).  </w:t>
      </w:r>
    </w:p>
    <w:p>
      <w:pPr>
        <w:tabs>
          <w:tab w:val="left" w:pos="5812"/>
        </w:tabs>
        <w:spacing w:after="0" w:line="240" w:lineRule="auto"/>
        <w:ind w:firstLine="851"/>
        <w:jc w:val="both"/>
        <w:rPr>
          <w:rFonts w:ascii="Times New Roman" w:hAnsi="Times New Roman" w:cs="Times New Roman"/>
          <w:sz w:val="24"/>
          <w:szCs w:val="24"/>
        </w:rPr>
      </w:pPr>
      <w:r>
        <w:rPr>
          <w:rFonts w:ascii="Times New Roman" w:hAnsi="Times New Roman"/>
          <w:sz w:val="24"/>
          <w:szCs w:val="24"/>
        </w:rPr>
        <w:t xml:space="preserve">В рамках реализации проекта «Формирование комфортной городской среды» в </w:t>
      </w:r>
      <w:r>
        <w:rPr>
          <w:rFonts w:ascii="Times New Roman" w:hAnsi="Times New Roman" w:cs="Times New Roman"/>
          <w:sz w:val="24"/>
          <w:szCs w:val="24"/>
        </w:rPr>
        <w:t>2025 году администрациями сельских поселений реализовано 4 проекта по обустройству общественных территорий на общую сумму 7 702,3 тыс. рублей (в</w:t>
      </w:r>
      <w:r>
        <w:rPr>
          <w:rFonts w:ascii="Times New Roman" w:hAnsi="Times New Roman"/>
          <w:sz w:val="24"/>
          <w:szCs w:val="24"/>
        </w:rPr>
        <w:t xml:space="preserve"> 2024 году благоустроенно </w:t>
      </w:r>
      <w:r>
        <w:rPr>
          <w:rFonts w:ascii="Times New Roman" w:hAnsi="Times New Roman" w:cs="Times New Roman"/>
          <w:sz w:val="24"/>
          <w:szCs w:val="24"/>
        </w:rPr>
        <w:t>4 общественные территории на общую сумму 7 088,367 тыс. рублей). В 2026 году будет продолжена работа по 3 проектам, начатым в 2025 году, общий объем финансирования составит 6 279,456 тыс. рублей.</w:t>
      </w:r>
    </w:p>
    <w:p>
      <w:pPr>
        <w:spacing w:after="0" w:line="240" w:lineRule="auto"/>
        <w:ind w:firstLine="567"/>
        <w:jc w:val="both"/>
        <w:rPr>
          <w:rFonts w:ascii="Times New Roman" w:eastAsia="Times New Roman" w:hAnsi="Times New Roman" w:cs="Times New Roman"/>
          <w:sz w:val="24"/>
          <w:szCs w:val="24"/>
          <w:lang w:eastAsia="ru-RU"/>
        </w:rPr>
      </w:pPr>
    </w:p>
    <w:p>
      <w:pPr>
        <w:spacing w:after="0" w:line="240" w:lineRule="auto"/>
        <w:ind w:firstLine="567"/>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ЗЕМЕЛЬНЫЕ И ИМУЩЕСТВЕННЫЕ ОТНОШЕНИЯ</w:t>
      </w:r>
    </w:p>
    <w:p>
      <w:pPr>
        <w:spacing w:after="0" w:line="240" w:lineRule="auto"/>
        <w:ind w:firstLine="567"/>
        <w:contextualSpacing/>
        <w:jc w:val="both"/>
        <w:rPr>
          <w:rFonts w:ascii="Times New Roman" w:eastAsia="Times New Roman" w:hAnsi="Times New Roman" w:cs="Times New Roman"/>
          <w:b/>
          <w:color w:val="000000"/>
          <w:sz w:val="24"/>
          <w:szCs w:val="24"/>
          <w:highlight w:val="yellow"/>
        </w:rPr>
      </w:pP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Общий объем поступлений доходов в бюджет муниципального района «Корткеросский» на 2025 год в виде арендной платы за пользование муниципальным имуществом, в том числе земельными участками, и продажи муниципального имущества и земельных участков утвержден в размере 17,53 млн. руб.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Фактическое поступление в 2025 году составило 17,81 млн. руб., т.е.  101,6 % от плановых поступлений.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2025 году было проведено 9 аукционов на право заключения договоров аренды земельных участков для индивидуального жилищного строительства, ведения личного </w:t>
      </w:r>
      <w:r>
        <w:rPr>
          <w:rFonts w:ascii="Times New Roman" w:hAnsi="Times New Roman" w:cs="Times New Roman"/>
          <w:sz w:val="24"/>
          <w:szCs w:val="24"/>
        </w:rPr>
        <w:lastRenderedPageBreak/>
        <w:t xml:space="preserve">подсобного хозяйства, строительства магазина и заготовки древесины и 1 аукцион по продаже земельного участка для ведения личного подсобного хозяйства. </w:t>
      </w:r>
    </w:p>
    <w:p>
      <w:pPr>
        <w:spacing w:after="0" w:line="240" w:lineRule="auto"/>
        <w:ind w:firstLine="567"/>
        <w:jc w:val="both"/>
        <w:rPr>
          <w:rFonts w:ascii="Times New Roman" w:hAnsi="Times New Roman" w:cs="Times New Roman"/>
          <w:sz w:val="24"/>
          <w:szCs w:val="24"/>
          <w:highlight w:val="yellow"/>
        </w:rPr>
      </w:pPr>
      <w:r>
        <w:rPr>
          <w:rFonts w:ascii="Times New Roman" w:hAnsi="Times New Roman" w:cs="Times New Roman"/>
          <w:sz w:val="24"/>
          <w:szCs w:val="24"/>
        </w:rPr>
        <w:t xml:space="preserve">По результатам проведенных аукционов заключено 6 договоров аренды земельных участков на сумму годовой арендной платы 44 191 и 1 договор купли-продажи земельного участка на сумму 21 900 рублей. </w:t>
      </w:r>
      <w:r>
        <w:rPr>
          <w:rFonts w:ascii="Times New Roman" w:hAnsi="Times New Roman" w:cs="Times New Roman"/>
          <w:sz w:val="24"/>
          <w:szCs w:val="24"/>
          <w:highlight w:val="green"/>
        </w:rPr>
        <w:t xml:space="preserve">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целях исполнения плана (программы) приватизации муниципального имущества проведен 1 аукцион по продаже здания в с. Корткерос. Аукционы не состоялись по причине отсутствия заявок. </w:t>
      </w:r>
    </w:p>
    <w:p>
      <w:pPr>
        <w:tabs>
          <w:tab w:val="left" w:pos="144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2025 году выдано 12 разрешений на вырубку зеленых насаждений на общую сумму 341,521 тыс. руб., средства поступили в доход местного бюджета в полном объеме.  </w:t>
      </w:r>
    </w:p>
    <w:p>
      <w:pPr>
        <w:pStyle w:val="aa"/>
        <w:ind w:firstLine="567"/>
        <w:jc w:val="both"/>
        <w:rPr>
          <w:rFonts w:ascii="Times New Roman" w:hAnsi="Times New Roman"/>
          <w:sz w:val="24"/>
          <w:szCs w:val="24"/>
        </w:rPr>
      </w:pPr>
      <w:r>
        <w:rPr>
          <w:rFonts w:ascii="Times New Roman" w:hAnsi="Times New Roman"/>
          <w:sz w:val="24"/>
          <w:szCs w:val="24"/>
        </w:rPr>
        <w:t xml:space="preserve">В рамках исполнения закона Республики Коми от 28.06.2005 № 59-РЗ «О регулировании некоторых вопросов в области земельных отношений», администрация в 2025 году уделяла большое внимание бесплатному предоставлению земельных участков льготной категории граждан. </w:t>
      </w:r>
    </w:p>
    <w:p>
      <w:pPr>
        <w:pStyle w:val="aa"/>
        <w:ind w:firstLine="567"/>
        <w:jc w:val="both"/>
        <w:rPr>
          <w:rFonts w:ascii="Times New Roman" w:hAnsi="Times New Roman"/>
          <w:sz w:val="24"/>
          <w:szCs w:val="24"/>
        </w:rPr>
      </w:pPr>
      <w:r>
        <w:rPr>
          <w:rFonts w:ascii="Times New Roman" w:hAnsi="Times New Roman"/>
          <w:sz w:val="24"/>
          <w:szCs w:val="24"/>
        </w:rPr>
        <w:t xml:space="preserve">На 01.01.2025 года в очереди на получение земельных участков в собственность бесплатно состояло 16 граждан льготной категории, в том числе 13 граждан, имеющих трех и более детей, 3 граждане-члены молодых семей, возраст супругов которых не превышает 35 лет. </w:t>
      </w:r>
    </w:p>
    <w:p>
      <w:pPr>
        <w:pStyle w:val="aa"/>
        <w:ind w:firstLine="567"/>
        <w:jc w:val="both"/>
        <w:rPr>
          <w:rFonts w:ascii="Times New Roman" w:hAnsi="Times New Roman"/>
          <w:sz w:val="24"/>
          <w:szCs w:val="24"/>
        </w:rPr>
      </w:pPr>
      <w:r>
        <w:rPr>
          <w:rFonts w:ascii="Times New Roman" w:hAnsi="Times New Roman"/>
          <w:sz w:val="24"/>
          <w:szCs w:val="24"/>
        </w:rPr>
        <w:t xml:space="preserve">В течение 2025 года поступило 37 заявлений на предоставление земельных участков в собственность бесплатно от льготных категорий граждан. Поставлено на учет в 2025 году 12 граждан. В очереди на получение земельного участка в собственность бесплатно по состоянию на 01.01.2026 года состоит 31 льготник, в том числе 25 граждан, имеющих трех и более детей, 2-ветеран боевых действий,1-инварид 1 группы, 3 граждане-члены молодых семей, возраст супругов которых не превышает 35 лет. Остальным гражданам отказано в предоставлении земельного участка в собственность бесплатно в связи с отсутствием оснований для предоставления земельного участка в собственность бесплатно в соответствии с действующим законодательством. </w:t>
      </w:r>
    </w:p>
    <w:p>
      <w:pPr>
        <w:pStyle w:val="aa"/>
        <w:ind w:firstLine="567"/>
        <w:jc w:val="both"/>
        <w:rPr>
          <w:rFonts w:ascii="Times New Roman" w:hAnsi="Times New Roman"/>
          <w:sz w:val="24"/>
          <w:szCs w:val="24"/>
        </w:rPr>
      </w:pPr>
      <w:r>
        <w:rPr>
          <w:rFonts w:ascii="Times New Roman" w:hAnsi="Times New Roman"/>
          <w:sz w:val="24"/>
          <w:szCs w:val="24"/>
        </w:rPr>
        <w:t xml:space="preserve">Предоставлено в течение 2025 года 2 земельных участка. Основной причиной наличия очереди является желание льготников получить земельные участки в с. Корткерос, при этом в с. Корткерос отсутствуют земельные массивы, которые можно использовать для данных целей.  </w:t>
      </w:r>
    </w:p>
    <w:p>
      <w:pPr>
        <w:pStyle w:val="aa"/>
        <w:ind w:firstLine="567"/>
        <w:jc w:val="both"/>
        <w:rPr>
          <w:rFonts w:ascii="Times New Roman" w:hAnsi="Times New Roman"/>
          <w:sz w:val="24"/>
          <w:szCs w:val="24"/>
        </w:rPr>
      </w:pPr>
      <w:r>
        <w:rPr>
          <w:rFonts w:ascii="Times New Roman" w:hAnsi="Times New Roman"/>
          <w:sz w:val="24"/>
          <w:szCs w:val="24"/>
        </w:rPr>
        <w:t>В 2025 году в рамках исполнения Федерального закона от 30.12.2020 № 518-ФЗ «О внесении изменений в отдельные законодательные акты Российской Федерации» управлением была продолжена работа по выявлению правообладателей ранее учтенных объектов недвижимости.</w:t>
      </w:r>
    </w:p>
    <w:p>
      <w:pPr>
        <w:pStyle w:val="aa"/>
        <w:ind w:firstLine="567"/>
        <w:jc w:val="both"/>
        <w:rPr>
          <w:rFonts w:ascii="Times New Roman" w:hAnsi="Times New Roman"/>
          <w:sz w:val="24"/>
          <w:szCs w:val="24"/>
        </w:rPr>
      </w:pPr>
      <w:r>
        <w:rPr>
          <w:rFonts w:ascii="Times New Roman" w:hAnsi="Times New Roman"/>
          <w:sz w:val="24"/>
          <w:szCs w:val="24"/>
        </w:rPr>
        <w:t xml:space="preserve">На территории муниципального района «Корткеросский» расположено 3720 объектов недвижимости, по которым в Едином государственном реестре недвижимости отсутствует информация о правообладателях. На 01.01.2026 проведена работа в отношении 2714 объектов. </w:t>
      </w:r>
    </w:p>
    <w:p>
      <w:pPr>
        <w:spacing w:after="0" w:line="240" w:lineRule="auto"/>
        <w:ind w:firstLine="567"/>
        <w:jc w:val="both"/>
        <w:rPr>
          <w:rFonts w:ascii="Times New Roman" w:eastAsia="Times New Roman" w:hAnsi="Times New Roman" w:cs="Times New Roman"/>
          <w:sz w:val="24"/>
          <w:szCs w:val="24"/>
        </w:rPr>
      </w:pPr>
      <w:r>
        <w:rPr>
          <w:rFonts w:ascii="Times New Roman" w:hAnsi="Times New Roman"/>
          <w:sz w:val="24"/>
          <w:szCs w:val="24"/>
        </w:rPr>
        <w:t>Работа по выявлению правообладателей объектов недвижимости позволит увеличить доходную часть бюджета за счет поступлений налога на имущество</w:t>
      </w:r>
      <w:r>
        <w:rPr>
          <w:rFonts w:ascii="Times New Roman" w:eastAsia="Times New Roman" w:hAnsi="Times New Roman" w:cs="Times New Roman"/>
          <w:sz w:val="24"/>
          <w:szCs w:val="24"/>
        </w:rPr>
        <w:t>.</w:t>
      </w:r>
    </w:p>
    <w:p>
      <w:pPr>
        <w:spacing w:after="0" w:line="240" w:lineRule="auto"/>
        <w:ind w:firstLine="709"/>
        <w:jc w:val="both"/>
        <w:rPr>
          <w:rFonts w:ascii="Times New Roman" w:eastAsia="Times New Roman" w:hAnsi="Times New Roman" w:cs="Times New Roman"/>
          <w:sz w:val="24"/>
          <w:szCs w:val="24"/>
          <w:highlight w:val="yellow"/>
        </w:rPr>
      </w:pPr>
    </w:p>
    <w:p>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РАЗВИТИЕ СТРОИТЕЛЬНОЙ СФЕРЫ</w:t>
      </w:r>
    </w:p>
    <w:p>
      <w:pPr>
        <w:spacing w:after="0" w:line="240" w:lineRule="auto"/>
        <w:ind w:firstLine="567"/>
        <w:jc w:val="both"/>
        <w:rPr>
          <w:rFonts w:ascii="Times New Roman" w:hAnsi="Times New Roman" w:cs="Times New Roman"/>
          <w:sz w:val="24"/>
          <w:szCs w:val="24"/>
          <w:highlight w:val="yellow"/>
        </w:rPr>
      </w:pP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w:t>
      </w:r>
      <w:r>
        <w:rPr>
          <w:rFonts w:ascii="Times New Roman" w:eastAsia="Arial" w:hAnsi="Times New Roman" w:cs="Times New Roman"/>
          <w:sz w:val="24"/>
          <w:szCs w:val="24"/>
        </w:rPr>
        <w:t xml:space="preserve">авершена работа по проектированию объектов </w:t>
      </w:r>
      <w:r>
        <w:rPr>
          <w:rFonts w:ascii="Times New Roman" w:hAnsi="Times New Roman" w:cs="Times New Roman"/>
          <w:sz w:val="24"/>
          <w:szCs w:val="24"/>
        </w:rPr>
        <w:t>«Ремонт автомобильных дорог по улицам: Набережная, А.А. Сухановой, М.Н. Лебедева, Московская, с. Корткерос (обустройство)» Ремонт автомобильной дороги по с. Сторожевск км 0,000-1,550 (обустройство)». 23.01.2025 и 27.01.2025 получены положительные заключения государственной экспертизы проектной документации.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Данные проекты разработаны в целях исполнения решений суда в части обустройства тротуарами улично-дорожной сети с. Корткерос и с. Сторожевск. Общий объем средств для обустройства тротуарами улично-дорожной сети, включенной в проект по с. Корткерос, составляет 24,82 млн рублей, по с. Сторожевск – 36,42 млн рублей.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В адрес Минстрой Республики Коми 13.03.2025 были направлены заявки для включения объектов в проект Адресной инвестиционной программы Республики Коми с приложением требуемых документов. Получен ответ Минстроя от 18.03.2025 №04-03-06/2024 об отказе финансирования.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06.03.2026 года в адрес Министерства транспорта Республики Коми направлено ходатайство на предоставление субсидии в объеме 6,8 млн рублей на софинансирование в связи планируемым капитальным ремонтом автомобильной дороги «Подъезда к кладбищу с. Корткерос»</w:t>
      </w:r>
      <w:r>
        <w:t xml:space="preserve"> </w:t>
      </w:r>
      <w:r>
        <w:rPr>
          <w:rFonts w:ascii="Times New Roman" w:hAnsi="Times New Roman" w:cs="Times New Roman"/>
          <w:sz w:val="24"/>
          <w:szCs w:val="24"/>
        </w:rPr>
        <w:t>в части обустройства тротуара (ул. Набережная) в соответствии с разработанным проектом. Потребность в объеме средств местного бюджета на со финансирование работ составляет 358,8 тыс. рублей.</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Субсидии на обустройства тротуаров ул. Сухановой, М.Н. Лебедева, Московская, с. Корткерос не подлежат субсидированию, так как данные улицы не относятся к автомобильным дорогам. Капитальный ремонт данных улиц возможно выполнить только лишь за счет местного бюджета в рамках благоустройства территории.  Потребность в средствах местного бюджета составляет порядка 15.6 млн рублей.</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Также, в адрес Министерства транспорта Республики Коми направлено ходатайство на выделение субсидии в размере 34,59 млн рублей на софинансирование в связи планируемым капитальным ремонтом автомобильной дороги по с. Сторожевск в рамках проекта «Капитальный ремонт автомобильной дороги с. Сторожевск км 0,000-км 1,550 (обустройство)». Потребность в объеме средств местного бюджета на со финансирование работ составляет 1,82 млн рублей.</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Результат рассмотрения обращений Администрации на текущий период не поступил.</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16.06.2025 Администрацией принято решение о расторжении договора с индивидуальным предпринимателем </w:t>
      </w:r>
      <w:proofErr w:type="spellStart"/>
      <w:r>
        <w:rPr>
          <w:rFonts w:ascii="Times New Roman" w:hAnsi="Times New Roman" w:cs="Times New Roman"/>
          <w:sz w:val="24"/>
          <w:szCs w:val="24"/>
        </w:rPr>
        <w:t>Ульныровой</w:t>
      </w:r>
      <w:proofErr w:type="spellEnd"/>
      <w:r>
        <w:rPr>
          <w:rFonts w:ascii="Times New Roman" w:hAnsi="Times New Roman" w:cs="Times New Roman"/>
          <w:sz w:val="24"/>
          <w:szCs w:val="24"/>
        </w:rPr>
        <w:t xml:space="preserve"> Л.В. (разработчиком проекта) в связи с неисполнением ею обязательств, предусмотренных заключенным договором.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 текущий период с целью необходимости завершения работ по проектированию объекта получены коммерческие предложения.  В виду отсутствия финансирования работы по проектированию приостановлены.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12.02.2026</w:t>
      </w:r>
      <w:r>
        <w:t xml:space="preserve"> </w:t>
      </w:r>
      <w:r>
        <w:rPr>
          <w:rFonts w:ascii="Times New Roman" w:hAnsi="Times New Roman" w:cs="Times New Roman"/>
          <w:sz w:val="24"/>
          <w:szCs w:val="24"/>
        </w:rPr>
        <w:t xml:space="preserve">в адрес Минстроя Республики Коми направлено на рассмотрение заключение органа местного самоуправления в Республике Коми о соответствии земельного участка требованиям земельного законодательства Российской Федерации и законодательства о градостроительной деятельности и исчерпывающим требованиям в целях строительства объекта в рамках адресной инвестиционной программы Республики Коми. Результат согласования заключения на текущую дату не поступил. В случае получения положительного решения Администрации, в целях участия в распределении субсидий республиканского бюджета, в адрес Минстроя Республики Коми в срок до 15 мая текущего года будет направлено обращение с предложением о включении объекта в Адресную инвестиционную программу (АИП) Республики Коми на 2027 год и плановый период 2028–2029 годов. В связи с отсутствием финансирования (не включения в АИП Республики Коми) остаются не реализуются мероприятия по строительству объектов, проектная документация которых подготовлена и имеются положительные заключения </w:t>
      </w:r>
      <w:proofErr w:type="spellStart"/>
      <w:r>
        <w:rPr>
          <w:rFonts w:ascii="Times New Roman" w:hAnsi="Times New Roman" w:cs="Times New Roman"/>
          <w:sz w:val="24"/>
          <w:szCs w:val="24"/>
        </w:rPr>
        <w:t>госэкспертизы</w:t>
      </w:r>
      <w:proofErr w:type="spellEnd"/>
      <w:r>
        <w:rPr>
          <w:rFonts w:ascii="Times New Roman" w:hAnsi="Times New Roman" w:cs="Times New Roman"/>
          <w:sz w:val="24"/>
          <w:szCs w:val="24"/>
        </w:rPr>
        <w:t>: лыжная база в с. Нившера, дом культуры в с. Сторожевск и начальная школа с. Корткерос.</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Администрацией в 2025г продолжались мероприятия по описанию местоположения границ населенных пунктов и территориальных зон сельских поселений, входящих в состав МО МР «Корткеросский».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2025 году между Администрацией и ООО «ГВИЕГРЕЙС» был заключен муниципальный контракт на описание границ населенных пунктов и территориальных зон. В декабре текущего года данные работы планируется завершить.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 текущий в ЕГРН внесены сведения о местоположении границ:</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48 населенных пунктов, что составляет 90,6% от общего количество населённых пунктов, входящих в состав МО МР «Корткеросский»;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-173-х территориальных зон, что составляет 66,3% от общего количества территориальных зон (всего тер. зон 261).</w:t>
      </w:r>
    </w:p>
    <w:p>
      <w:pPr>
        <w:spacing w:after="0" w:line="240" w:lineRule="auto"/>
        <w:ind w:firstLine="567"/>
        <w:contextualSpacing/>
        <w:jc w:val="center"/>
        <w:rPr>
          <w:rFonts w:ascii="Times New Roman" w:eastAsia="Times New Roman" w:hAnsi="Times New Roman" w:cs="Times New Roman"/>
          <w:b/>
          <w:sz w:val="24"/>
          <w:szCs w:val="24"/>
          <w:highlight w:val="yellow"/>
          <w:lang w:eastAsia="ru-RU"/>
        </w:rPr>
      </w:pPr>
    </w:p>
    <w:p>
      <w:pPr>
        <w:spacing w:after="0" w:line="240" w:lineRule="auto"/>
        <w:ind w:firstLine="567"/>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УЛУЧШЕНИЕ ЖИЛИЩНЫХ УСЛОВИЙ ГРАЖДАН</w:t>
      </w:r>
    </w:p>
    <w:p>
      <w:pPr>
        <w:spacing w:after="0" w:line="240" w:lineRule="auto"/>
        <w:ind w:firstLine="567"/>
        <w:contextualSpacing/>
        <w:jc w:val="center"/>
        <w:rPr>
          <w:rFonts w:ascii="Times New Roman" w:eastAsia="Times New Roman" w:hAnsi="Times New Roman" w:cs="Times New Roman"/>
          <w:b/>
          <w:sz w:val="24"/>
          <w:szCs w:val="24"/>
          <w:highlight w:val="yellow"/>
          <w:lang w:eastAsia="ru-RU"/>
        </w:rPr>
      </w:pPr>
    </w:p>
    <w:p>
      <w:pPr>
        <w:shd w:val="clear" w:color="auto" w:fill="FFFFFF"/>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действующих федеральных, республиканских и муниципальных программ, направленных на улучшение жилищных условий в 2025 году социальные выплаты на строительство или приобретение жилья получили- 2 семьи. </w:t>
      </w:r>
    </w:p>
    <w:p>
      <w:pPr>
        <w:shd w:val="clear" w:color="auto" w:fill="FFFFFF"/>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них улучшили жилищные условия:</w:t>
      </w:r>
    </w:p>
    <w:p>
      <w:pPr>
        <w:shd w:val="clear" w:color="auto" w:fill="FFFFFF"/>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рамках мероприятий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Федерации»- 1 семья;</w:t>
      </w:r>
    </w:p>
    <w:p>
      <w:pPr>
        <w:shd w:val="clear" w:color="auto" w:fill="FFFFFF"/>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рамках предоставления социальных выплат в виде компенсации на возмещение части затрат на уплату процентов по кредитам или целевым займам на строительство или приобретение жилья, полученным гражданами по кредитным договорам или договорам целевого займа- 1 семья. </w:t>
      </w:r>
    </w:p>
    <w:p>
      <w:pPr>
        <w:shd w:val="clear" w:color="auto" w:fill="FFFFFF"/>
        <w:spacing w:after="0" w:line="240" w:lineRule="auto"/>
        <w:ind w:firstLine="567"/>
        <w:contextualSpacing/>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В 2025 году проведены ремонтные работы по капитальному ремонту 12 объектов муниципального жилищного фонда за счет средств бюджета муниципального района «Корткеросский» на сумму 2 204 тыс. руб</w:t>
      </w:r>
      <w:r>
        <w:rPr>
          <w:rFonts w:ascii="Times New Roman" w:hAnsi="Times New Roman" w:cs="Times New Roman"/>
          <w:sz w:val="24"/>
          <w:szCs w:val="24"/>
          <w:lang w:eastAsia="ru-RU"/>
        </w:rPr>
        <w:t>.</w:t>
      </w:r>
    </w:p>
    <w:p>
      <w:pPr>
        <w:shd w:val="clear" w:color="auto" w:fill="FFFFFF"/>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СОТОВАЯ СВЯЗЬ И ИНТЕРНЕТ</w:t>
      </w:r>
    </w:p>
    <w:p>
      <w:pPr>
        <w:spacing w:after="0"/>
        <w:ind w:firstLine="709"/>
        <w:jc w:val="both"/>
        <w:rPr>
          <w:rFonts w:ascii="Times New Roman" w:hAnsi="Times New Roman" w:cs="Times New Roman"/>
          <w:sz w:val="28"/>
          <w:szCs w:val="28"/>
          <w:highlight w:val="yellow"/>
        </w:rPr>
      </w:pPr>
    </w:p>
    <w:p>
      <w:pPr>
        <w:pStyle w:val="a8"/>
        <w:shd w:val="clear" w:color="auto" w:fill="FFFFFF"/>
        <w:spacing w:before="0" w:beforeAutospacing="0" w:after="0" w:afterAutospacing="0"/>
        <w:ind w:firstLine="709"/>
        <w:jc w:val="both"/>
        <w:rPr>
          <w:color w:val="0F1115"/>
        </w:rPr>
      </w:pPr>
      <w:r>
        <w:rPr>
          <w:color w:val="0F1115"/>
        </w:rPr>
        <w:t>Вопрос обратной связи с жителями является для нас приоритетным. Сегодня выстроена полноценная система цифрового диалога.</w:t>
      </w:r>
    </w:p>
    <w:p>
      <w:pPr>
        <w:pStyle w:val="a8"/>
        <w:shd w:val="clear" w:color="auto" w:fill="FFFFFF"/>
        <w:spacing w:before="0" w:beforeAutospacing="0" w:after="0" w:afterAutospacing="0"/>
        <w:ind w:firstLine="709"/>
        <w:jc w:val="both"/>
        <w:rPr>
          <w:color w:val="0F1115"/>
        </w:rPr>
      </w:pPr>
      <w:r>
        <w:rPr>
          <w:color w:val="0F1115"/>
        </w:rPr>
        <w:t xml:space="preserve">В оперативном режиме на портале </w:t>
      </w:r>
      <w:proofErr w:type="spellStart"/>
      <w:r>
        <w:rPr>
          <w:color w:val="0F1115"/>
        </w:rPr>
        <w:t>Госуслуг</w:t>
      </w:r>
      <w:proofErr w:type="spellEnd"/>
      <w:r>
        <w:rPr>
          <w:color w:val="0F1115"/>
        </w:rPr>
        <w:t xml:space="preserve"> функционирует Платформа обратной связи (ПОС), это ключевой инструмент, позволяющий жителям направлять обращения в электронном виде и получать квалифицированные ответы в установленные сроки. посредством которой в 2025 году получено 141 обращение</w:t>
      </w:r>
    </w:p>
    <w:p>
      <w:pPr>
        <w:pStyle w:val="a8"/>
        <w:shd w:val="clear" w:color="auto" w:fill="FFFFFF"/>
        <w:spacing w:before="0" w:beforeAutospacing="0" w:after="0" w:afterAutospacing="0"/>
        <w:ind w:firstLine="709"/>
        <w:jc w:val="both"/>
        <w:rPr>
          <w:color w:val="0F1115"/>
        </w:rPr>
      </w:pPr>
      <w:r>
        <w:rPr>
          <w:color w:val="0F1115"/>
        </w:rPr>
        <w:t xml:space="preserve">Параллельно ведется непрерывная работа с социальными сетями. Через платформу «Инцидент-менеджмент» мы отслеживаем все проблемные вопросы, которые поднимаются в публичном пространстве, и оперативно на них реагируем. Кроме того, информация о событиях в районе и работе администрации регулярно размещается на наших официальных </w:t>
      </w:r>
      <w:proofErr w:type="spellStart"/>
      <w:r>
        <w:rPr>
          <w:color w:val="0F1115"/>
        </w:rPr>
        <w:t>интернет-ресурсах</w:t>
      </w:r>
      <w:proofErr w:type="spellEnd"/>
      <w:r>
        <w:rPr>
          <w:color w:val="0F1115"/>
        </w:rPr>
        <w:t>, чтобы жители всегда были в курсе актуальных новостей.</w:t>
      </w:r>
    </w:p>
    <w:p>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администрации района на всех рабочих местах внедрен коммуникационный сервис "Среда" (АРМ ГС).</w:t>
      </w:r>
    </w:p>
    <w:p>
      <w:pPr>
        <w:spacing w:after="0" w:line="240" w:lineRule="auto"/>
        <w:ind w:firstLine="709"/>
        <w:jc w:val="both"/>
        <w:rPr>
          <w:rFonts w:ascii="Times New Roman" w:hAnsi="Times New Roman" w:cs="Times New Roman"/>
          <w:color w:val="0F1115"/>
          <w:sz w:val="24"/>
          <w:szCs w:val="24"/>
          <w:shd w:val="clear" w:color="auto" w:fill="FFFFFF"/>
        </w:rPr>
      </w:pPr>
      <w:r>
        <w:rPr>
          <w:rFonts w:ascii="Times New Roman" w:hAnsi="Times New Roman" w:cs="Times New Roman"/>
          <w:sz w:val="24"/>
          <w:szCs w:val="24"/>
        </w:rPr>
        <w:t xml:space="preserve">В электронном виде осуществляется ведение реестра муниципального имущества, сопровождение договоров аренды, бухгалтерская и иная отчетность. </w:t>
      </w:r>
      <w:r>
        <w:rPr>
          <w:rFonts w:ascii="Times New Roman" w:hAnsi="Times New Roman" w:cs="Times New Roman"/>
          <w:color w:val="0F1115"/>
          <w:sz w:val="24"/>
          <w:szCs w:val="24"/>
          <w:shd w:val="clear" w:color="auto" w:fill="FFFFFF"/>
        </w:rPr>
        <w:t>Продолжается плановое подключение к системе межведомственного электронного взаимодействия (СМЭВ), что позволяет ускорять обмен данными между ведомствами и сокращать сроки предоставления услуг населению.</w:t>
      </w:r>
    </w:p>
    <w:p>
      <w:pPr>
        <w:spacing w:after="0" w:line="240" w:lineRule="auto"/>
        <w:ind w:firstLine="709"/>
        <w:jc w:val="both"/>
        <w:rPr>
          <w:rFonts w:ascii="Times New Roman" w:eastAsia="Times New Roman" w:hAnsi="Times New Roman" w:cs="Times New Roman"/>
          <w:color w:val="0F1115"/>
          <w:sz w:val="24"/>
          <w:szCs w:val="24"/>
          <w:lang w:eastAsia="ru-RU"/>
        </w:rPr>
      </w:pPr>
      <w:r>
        <w:rPr>
          <w:rFonts w:ascii="Times New Roman" w:eastAsia="Times New Roman" w:hAnsi="Times New Roman" w:cs="Times New Roman"/>
          <w:color w:val="0F1115"/>
          <w:sz w:val="24"/>
          <w:szCs w:val="24"/>
          <w:lang w:eastAsia="ru-RU"/>
        </w:rPr>
        <w:t>В 2025 году в селе Нёбдино и деревне Троицк завершены работы по установке вышек и запуску сотовой связи стандарта 4G от оператора ТЕЛЕ2. До этого момента жители этих населенных пунктов испытывали серьезные трудности — ближайшие базовые станции находились на расстоянии более 20 километров, и устойчивый сигнал фактически отсутствовал. Сегодня эта проблема решена. Однако важно понимать, что проблема доступа к качественной сотовой связи и сети интернет в отдаленных населенных пунктах сохраняется. Ряд территорий по-прежнему имеют слабое покрытие сотовой связью, а в некоторых деревнях интернет вовсе отсутствует. Мы держим этот вопрос на особом контроле.</w:t>
      </w:r>
    </w:p>
    <w:p>
      <w:pPr>
        <w:shd w:val="clear" w:color="auto" w:fill="FFFFFF"/>
        <w:spacing w:after="0" w:line="240" w:lineRule="auto"/>
        <w:ind w:firstLine="709"/>
        <w:jc w:val="both"/>
        <w:rPr>
          <w:rFonts w:ascii="Times New Roman" w:eastAsia="Times New Roman" w:hAnsi="Times New Roman" w:cs="Times New Roman"/>
          <w:color w:val="0F1115"/>
          <w:sz w:val="24"/>
          <w:szCs w:val="24"/>
          <w:lang w:eastAsia="ru-RU"/>
        </w:rPr>
      </w:pPr>
      <w:r>
        <w:rPr>
          <w:rFonts w:ascii="Times New Roman" w:eastAsia="Times New Roman" w:hAnsi="Times New Roman" w:cs="Times New Roman"/>
          <w:color w:val="0F1115"/>
          <w:sz w:val="24"/>
          <w:szCs w:val="24"/>
          <w:lang w:eastAsia="ru-RU"/>
        </w:rPr>
        <w:t>В ходе выборной кампании, в 2025 году была успешно опробована система дистанционного электронного голосования (ДЭГ). Это важный шаг к тому, чтобы сделать участие граждан в жизни района и страны более доступным и удобным.</w:t>
      </w: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ОБРАЩЕНИЯ ГРАЖДАН</w:t>
      </w:r>
    </w:p>
    <w:p>
      <w:pPr>
        <w:shd w:val="clear" w:color="auto" w:fill="FFFFFF"/>
        <w:spacing w:after="0" w:line="240" w:lineRule="auto"/>
        <w:ind w:right="29" w:firstLine="608"/>
        <w:jc w:val="both"/>
        <w:rPr>
          <w:rFonts w:ascii="Times New Roman" w:eastAsia="Times New Roman" w:hAnsi="Times New Roman" w:cs="Times New Roman"/>
          <w:spacing w:val="-3"/>
          <w:sz w:val="24"/>
          <w:szCs w:val="24"/>
          <w:highlight w:val="yellow"/>
          <w:lang w:eastAsia="ru-RU"/>
        </w:rPr>
      </w:pPr>
    </w:p>
    <w:p>
      <w:pPr>
        <w:spacing w:after="0" w:line="240" w:lineRule="auto"/>
        <w:ind w:firstLine="567"/>
        <w:contextualSpacing/>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За 2025 год в администрацию муниципального района «</w:t>
      </w:r>
      <w:proofErr w:type="spellStart"/>
      <w:r>
        <w:rPr>
          <w:rFonts w:ascii="Times New Roman" w:eastAsia="Times New Roman" w:hAnsi="Times New Roman" w:cs="Times New Roman"/>
          <w:sz w:val="24"/>
          <w:szCs w:val="24"/>
          <w:bdr w:val="none" w:sz="0" w:space="0" w:color="auto" w:frame="1"/>
          <w:lang w:eastAsia="ru-RU"/>
        </w:rPr>
        <w:t>Корткероский</w:t>
      </w:r>
      <w:proofErr w:type="spellEnd"/>
      <w:r>
        <w:rPr>
          <w:rFonts w:ascii="Times New Roman" w:eastAsia="Times New Roman" w:hAnsi="Times New Roman" w:cs="Times New Roman"/>
          <w:sz w:val="24"/>
          <w:szCs w:val="24"/>
          <w:bdr w:val="none" w:sz="0" w:space="0" w:color="auto" w:frame="1"/>
          <w:lang w:eastAsia="ru-RU"/>
        </w:rPr>
        <w:t>» поступило 196 обращений граждан, в том числе 10 – через личный прием и 38 – через сайт ОНФ. Все поступившие в администрацию обращения были своевременно рассмотрены.</w:t>
      </w:r>
    </w:p>
    <w:p>
      <w:pPr>
        <w:spacing w:after="0" w:line="240" w:lineRule="auto"/>
        <w:ind w:firstLine="567"/>
        <w:contextualSpacing/>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По итогам личного приема все обращения также рассмотрены и решены.</w:t>
      </w:r>
    </w:p>
    <w:p>
      <w:pPr>
        <w:spacing w:after="0" w:line="240" w:lineRule="auto"/>
        <w:ind w:firstLine="567"/>
        <w:contextualSpacing/>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pacing w:val="-3"/>
          <w:sz w:val="24"/>
          <w:szCs w:val="24"/>
          <w:lang w:eastAsia="ru-RU"/>
        </w:rPr>
        <w:t xml:space="preserve">По системе Инцидент менеджмент поступило 507 обращений. </w:t>
      </w:r>
      <w:r>
        <w:rPr>
          <w:rFonts w:ascii="Times New Roman" w:eastAsia="Times New Roman" w:hAnsi="Times New Roman" w:cs="Times New Roman"/>
          <w:sz w:val="24"/>
          <w:szCs w:val="24"/>
          <w:bdr w:val="none" w:sz="0" w:space="0" w:color="auto" w:frame="1"/>
          <w:lang w:eastAsia="ru-RU"/>
        </w:rPr>
        <w:t xml:space="preserve">Основными темами обращений стали вопросы, касающиеся состояния дорог (142), благоустройство (81), </w:t>
      </w:r>
      <w:proofErr w:type="spellStart"/>
      <w:r>
        <w:rPr>
          <w:rFonts w:ascii="Times New Roman" w:eastAsia="Times New Roman" w:hAnsi="Times New Roman" w:cs="Times New Roman"/>
          <w:sz w:val="24"/>
          <w:szCs w:val="24"/>
          <w:bdr w:val="none" w:sz="0" w:space="0" w:color="auto" w:frame="1"/>
          <w:lang w:eastAsia="ru-RU"/>
        </w:rPr>
        <w:t>жкх</w:t>
      </w:r>
      <w:proofErr w:type="spellEnd"/>
      <w:r>
        <w:rPr>
          <w:rFonts w:ascii="Times New Roman" w:eastAsia="Times New Roman" w:hAnsi="Times New Roman" w:cs="Times New Roman"/>
          <w:sz w:val="24"/>
          <w:szCs w:val="24"/>
          <w:bdr w:val="none" w:sz="0" w:space="0" w:color="auto" w:frame="1"/>
          <w:lang w:eastAsia="ru-RU"/>
        </w:rPr>
        <w:t xml:space="preserve"> (70), общественный </w:t>
      </w:r>
      <w:proofErr w:type="spellStart"/>
      <w:r>
        <w:rPr>
          <w:rFonts w:ascii="Times New Roman" w:eastAsia="Times New Roman" w:hAnsi="Times New Roman" w:cs="Times New Roman"/>
          <w:sz w:val="24"/>
          <w:szCs w:val="24"/>
          <w:bdr w:val="none" w:sz="0" w:space="0" w:color="auto" w:frame="1"/>
          <w:lang w:eastAsia="ru-RU"/>
        </w:rPr>
        <w:t>транспрт</w:t>
      </w:r>
      <w:proofErr w:type="spellEnd"/>
      <w:r>
        <w:rPr>
          <w:rFonts w:ascii="Times New Roman" w:eastAsia="Times New Roman" w:hAnsi="Times New Roman" w:cs="Times New Roman"/>
          <w:sz w:val="24"/>
          <w:szCs w:val="24"/>
          <w:bdr w:val="none" w:sz="0" w:space="0" w:color="auto" w:frame="1"/>
          <w:lang w:eastAsia="ru-RU"/>
        </w:rPr>
        <w:t xml:space="preserve"> (62).</w:t>
      </w:r>
    </w:p>
    <w:p>
      <w:pPr>
        <w:spacing w:after="0" w:line="240" w:lineRule="auto"/>
        <w:ind w:firstLine="567"/>
        <w:contextualSpacing/>
        <w:jc w:val="both"/>
        <w:rPr>
          <w:rFonts w:ascii="Times New Roman" w:eastAsia="Times New Roman" w:hAnsi="Times New Roman" w:cs="Times New Roman"/>
          <w:sz w:val="24"/>
          <w:szCs w:val="24"/>
          <w:bdr w:val="none" w:sz="0" w:space="0" w:color="auto" w:frame="1"/>
          <w:lang w:eastAsia="ru-RU"/>
        </w:rPr>
      </w:pPr>
    </w:p>
    <w:p>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ПРЕТЕНЗИОННО-ИСКОВАЯ РАБОТА</w:t>
      </w:r>
    </w:p>
    <w:p>
      <w:pPr>
        <w:spacing w:after="0" w:line="240" w:lineRule="auto"/>
        <w:ind w:firstLine="567"/>
        <w:contextualSpacing/>
        <w:jc w:val="both"/>
        <w:rPr>
          <w:rFonts w:ascii="Times New Roman" w:eastAsia="Times New Roman" w:hAnsi="Times New Roman" w:cs="Times New Roman"/>
          <w:sz w:val="24"/>
          <w:szCs w:val="24"/>
          <w:highlight w:val="yellow"/>
          <w:lang w:eastAsia="ru-RU"/>
        </w:rPr>
      </w:pP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Администрацией МО МР «Корткеросский» принимаются активные меры, направленные на пополнение бюджета района, путем взыскания с должников задолженности за пользование земельными участками и муниципальным имуществом, жилых помещений, неустоек с подрядчиков, которые нарушили сроки исполнения муниципальных контрактов. Так же готовятся и направляются в судебные органы исковые заявления на прекращение права пожизненно наследуемого владения, прекращение договоров аренды и права пользования земельными участками, возмещение убытков, на выполнение обязательств по муниципальным контрактам и договорам.</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2025 году в судебные органы администрацией муниципального района «Корткеросский» подготовлено и направлено 112 исковых заявлений (за 2024 год направлено 90 исковых заявлений):</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- 56 исковых заявления на взыскание арендных платежей;</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- 15 исковых заявлений на взыскание неустойки за нарушение обязательств по муниципальным контрактам и договорам;</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- 2 исковых заявления о возмещении причиненного ущерба;</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 исковых заявления об </w:t>
      </w:r>
      <w:proofErr w:type="spellStart"/>
      <w:r>
        <w:rPr>
          <w:rFonts w:ascii="Times New Roman" w:eastAsia="Times New Roman" w:hAnsi="Times New Roman"/>
          <w:sz w:val="24"/>
          <w:szCs w:val="24"/>
          <w:lang w:eastAsia="ru-RU"/>
        </w:rPr>
        <w:t>обязании</w:t>
      </w:r>
      <w:proofErr w:type="spellEnd"/>
      <w:r>
        <w:rPr>
          <w:rFonts w:ascii="Times New Roman" w:eastAsia="Times New Roman" w:hAnsi="Times New Roman"/>
          <w:sz w:val="24"/>
          <w:szCs w:val="24"/>
          <w:lang w:eastAsia="ru-RU"/>
        </w:rPr>
        <w:t xml:space="preserve"> выполнить работы по гарантийным обязательствам по муниципальному контракту (договору);</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- 11 исковых заявлений об освобождении жилых помещений;</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- 9 исковых заявления о прекращении п права пожизненно наследуемого владения;</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- 14 исковых заявления о прекращении договоров аренды земельного участка;</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- 3 иных заявления.</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результатам рассмотрения судами исковых заявлений с должников в пользу бюджета муниципального района «Корткеросский" взыскано 3 730 015,11 руб. (за 2024 год взыскано 6 895 956,92 рублей).</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Вступившие в законную силу судебные решения направлены для принудительного взыскания в отделы судебных приставов.</w:t>
      </w:r>
    </w:p>
    <w:p>
      <w:pPr>
        <w:tabs>
          <w:tab w:val="left" w:pos="426"/>
        </w:tabs>
        <w:spacing w:after="0" w:line="240" w:lineRule="auto"/>
        <w:ind w:right="-1" w:firstLine="567"/>
        <w:jc w:val="both"/>
        <w:rPr>
          <w:rFonts w:ascii="Times New Roman" w:hAnsi="Times New Roman"/>
          <w:sz w:val="24"/>
          <w:szCs w:val="24"/>
        </w:rPr>
      </w:pPr>
      <w:r>
        <w:rPr>
          <w:rFonts w:ascii="Times New Roman" w:hAnsi="Times New Roman"/>
          <w:sz w:val="24"/>
          <w:szCs w:val="24"/>
        </w:rPr>
        <w:t>Из 26 гражданских дел, по которым администрация муниципального района «Корткеросский» (в 2024 году 33 гражданских дела) выступала в качестве ответчика, по 5 гражданским делам суды отказывали в удовлетворении исковых требований в полном объеме (в том числе по денежным обязательствам на сумму 275 000 рублей).</w:t>
      </w:r>
    </w:p>
    <w:p>
      <w:pPr>
        <w:tabs>
          <w:tab w:val="left" w:pos="426"/>
        </w:tabs>
        <w:spacing w:after="0" w:line="240" w:lineRule="auto"/>
        <w:ind w:right="-1" w:firstLine="567"/>
        <w:jc w:val="both"/>
        <w:rPr>
          <w:rFonts w:ascii="Times New Roman" w:hAnsi="Times New Roman"/>
          <w:sz w:val="24"/>
          <w:szCs w:val="24"/>
        </w:rPr>
      </w:pPr>
      <w:r>
        <w:rPr>
          <w:rFonts w:ascii="Times New Roman" w:hAnsi="Times New Roman"/>
          <w:sz w:val="24"/>
          <w:szCs w:val="24"/>
        </w:rPr>
        <w:t>Так, в частности, судами было отказано в удовлетворении исковых требований:</w:t>
      </w:r>
    </w:p>
    <w:p>
      <w:pPr>
        <w:tabs>
          <w:tab w:val="left" w:pos="426"/>
        </w:tabs>
        <w:spacing w:after="0" w:line="240" w:lineRule="auto"/>
        <w:ind w:right="-1" w:firstLine="567"/>
        <w:jc w:val="both"/>
        <w:rPr>
          <w:rFonts w:ascii="Times New Roman" w:hAnsi="Times New Roman"/>
          <w:sz w:val="24"/>
          <w:szCs w:val="24"/>
        </w:rPr>
      </w:pPr>
      <w:r>
        <w:rPr>
          <w:rFonts w:ascii="Times New Roman" w:hAnsi="Times New Roman"/>
          <w:sz w:val="24"/>
          <w:szCs w:val="24"/>
        </w:rPr>
        <w:t>- ООО «</w:t>
      </w:r>
      <w:proofErr w:type="spellStart"/>
      <w:r>
        <w:rPr>
          <w:rFonts w:ascii="Times New Roman" w:hAnsi="Times New Roman"/>
          <w:sz w:val="24"/>
          <w:szCs w:val="24"/>
        </w:rPr>
        <w:t>Трударенда</w:t>
      </w:r>
      <w:proofErr w:type="spellEnd"/>
      <w:r>
        <w:rPr>
          <w:rFonts w:ascii="Times New Roman" w:hAnsi="Times New Roman"/>
          <w:sz w:val="24"/>
          <w:szCs w:val="24"/>
        </w:rPr>
        <w:t xml:space="preserve">» об </w:t>
      </w:r>
      <w:proofErr w:type="spellStart"/>
      <w:r>
        <w:rPr>
          <w:rFonts w:ascii="Times New Roman" w:hAnsi="Times New Roman"/>
          <w:sz w:val="24"/>
          <w:szCs w:val="24"/>
        </w:rPr>
        <w:t>обязании</w:t>
      </w:r>
      <w:proofErr w:type="spellEnd"/>
      <w:r>
        <w:rPr>
          <w:rFonts w:ascii="Times New Roman" w:hAnsi="Times New Roman"/>
          <w:sz w:val="24"/>
          <w:szCs w:val="24"/>
        </w:rPr>
        <w:t xml:space="preserve"> администрации муниципального района «Корткеросский» произвести перерасчет арендной платы по договору аренды земельного участка;</w:t>
      </w:r>
    </w:p>
    <w:p>
      <w:pPr>
        <w:tabs>
          <w:tab w:val="left" w:pos="426"/>
        </w:tabs>
        <w:spacing w:after="0" w:line="240" w:lineRule="auto"/>
        <w:ind w:right="-1" w:firstLine="567"/>
        <w:jc w:val="both"/>
        <w:rPr>
          <w:rFonts w:ascii="Times New Roman" w:hAnsi="Times New Roman"/>
          <w:color w:val="000000"/>
          <w:sz w:val="24"/>
          <w:szCs w:val="24"/>
        </w:rPr>
      </w:pPr>
      <w:r>
        <w:rPr>
          <w:rFonts w:ascii="Times New Roman" w:hAnsi="Times New Roman"/>
          <w:sz w:val="24"/>
          <w:szCs w:val="24"/>
        </w:rPr>
        <w:t xml:space="preserve">- гражданина </w:t>
      </w:r>
      <w:proofErr w:type="spellStart"/>
      <w:r>
        <w:rPr>
          <w:rFonts w:ascii="Times New Roman" w:hAnsi="Times New Roman"/>
          <w:sz w:val="24"/>
          <w:szCs w:val="24"/>
        </w:rPr>
        <w:t>Тийду</w:t>
      </w:r>
      <w:proofErr w:type="spellEnd"/>
      <w:r>
        <w:rPr>
          <w:rFonts w:ascii="Times New Roman" w:hAnsi="Times New Roman"/>
          <w:sz w:val="24"/>
          <w:szCs w:val="24"/>
        </w:rPr>
        <w:t xml:space="preserve"> Э. Э. </w:t>
      </w:r>
      <w:r>
        <w:rPr>
          <w:rFonts w:ascii="Times New Roman" w:hAnsi="Times New Roman"/>
          <w:color w:val="000000"/>
          <w:sz w:val="24"/>
          <w:szCs w:val="24"/>
        </w:rPr>
        <w:t>о предоставлении благоустроенного жилого помещения;</w:t>
      </w:r>
    </w:p>
    <w:p>
      <w:pPr>
        <w:tabs>
          <w:tab w:val="left" w:pos="426"/>
        </w:tabs>
        <w:spacing w:after="0" w:line="240" w:lineRule="auto"/>
        <w:ind w:right="-1" w:firstLine="567"/>
        <w:jc w:val="both"/>
        <w:rPr>
          <w:rFonts w:ascii="Times New Roman" w:hAnsi="Times New Roman"/>
          <w:color w:val="000000"/>
          <w:sz w:val="24"/>
          <w:szCs w:val="24"/>
        </w:rPr>
      </w:pPr>
      <w:r>
        <w:rPr>
          <w:rFonts w:ascii="Times New Roman" w:hAnsi="Times New Roman"/>
          <w:sz w:val="24"/>
          <w:szCs w:val="24"/>
        </w:rPr>
        <w:t xml:space="preserve">- гражданки Муравьевой О. А. </w:t>
      </w:r>
      <w:r>
        <w:rPr>
          <w:rFonts w:ascii="Times New Roman" w:hAnsi="Times New Roman"/>
          <w:color w:val="000000"/>
          <w:sz w:val="24"/>
          <w:szCs w:val="24"/>
        </w:rPr>
        <w:t>о предоставлении благоустроенного жилого помещения;</w:t>
      </w:r>
    </w:p>
    <w:p>
      <w:pPr>
        <w:tabs>
          <w:tab w:val="left" w:pos="426"/>
        </w:tabs>
        <w:spacing w:after="0" w:line="240" w:lineRule="auto"/>
        <w:ind w:right="-1" w:firstLine="567"/>
        <w:jc w:val="both"/>
        <w:rPr>
          <w:rFonts w:ascii="Times New Roman" w:hAnsi="Times New Roman"/>
          <w:color w:val="000000"/>
          <w:sz w:val="24"/>
          <w:szCs w:val="24"/>
        </w:rPr>
      </w:pPr>
      <w:r>
        <w:rPr>
          <w:rFonts w:ascii="Times New Roman" w:hAnsi="Times New Roman"/>
          <w:color w:val="000000"/>
          <w:sz w:val="24"/>
          <w:szCs w:val="24"/>
        </w:rPr>
        <w:t xml:space="preserve">- гражданина </w:t>
      </w:r>
      <w:proofErr w:type="spellStart"/>
      <w:r>
        <w:rPr>
          <w:rFonts w:ascii="Times New Roman" w:hAnsi="Times New Roman"/>
          <w:color w:val="000000"/>
          <w:sz w:val="24"/>
          <w:szCs w:val="24"/>
        </w:rPr>
        <w:t>Гудырева</w:t>
      </w:r>
      <w:proofErr w:type="spellEnd"/>
      <w:r>
        <w:rPr>
          <w:rFonts w:ascii="Times New Roman" w:hAnsi="Times New Roman"/>
          <w:color w:val="000000"/>
          <w:sz w:val="24"/>
          <w:szCs w:val="24"/>
        </w:rPr>
        <w:t xml:space="preserve"> С. П. о признании права собственности на объекты недвижимости;</w:t>
      </w:r>
    </w:p>
    <w:p>
      <w:pPr>
        <w:tabs>
          <w:tab w:val="left" w:pos="426"/>
        </w:tabs>
        <w:spacing w:after="0" w:line="240" w:lineRule="auto"/>
        <w:ind w:right="-1" w:firstLine="567"/>
        <w:jc w:val="both"/>
        <w:rPr>
          <w:rFonts w:ascii="Times New Roman" w:hAnsi="Times New Roman"/>
          <w:sz w:val="24"/>
          <w:szCs w:val="24"/>
        </w:rPr>
      </w:pPr>
      <w:r>
        <w:rPr>
          <w:rFonts w:ascii="Times New Roman" w:hAnsi="Times New Roman"/>
          <w:color w:val="000000"/>
          <w:sz w:val="24"/>
          <w:szCs w:val="24"/>
        </w:rPr>
        <w:t xml:space="preserve">- гражданки Сурковой А. Н. </w:t>
      </w:r>
      <w:r>
        <w:rPr>
          <w:rFonts w:ascii="Times New Roman" w:hAnsi="Times New Roman"/>
          <w:sz w:val="24"/>
          <w:szCs w:val="24"/>
        </w:rPr>
        <w:t>о взыскании судебных расходов в размере 100 000 рублей;</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Особое внимание уделяется и вопросам исполнения судебных решений, по которым должником выступает администрация муниципального района «Корткеросский». </w:t>
      </w:r>
    </w:p>
    <w:p>
      <w:pPr>
        <w:spacing w:after="0" w:line="240" w:lineRule="auto"/>
        <w:ind w:right="-1"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 результатам проведенной администрацией муниципального района «Корткеросский» в 2025 году исполнено 6 судебных решений, связанных с предоставлением жилых помещений, ремонтом автомобильных дорог и улично-дорожной сети, ликвидацией свалок (в 2024 году исполнено 6 судебных решения). </w:t>
      </w:r>
    </w:p>
    <w:p>
      <w:pPr>
        <w:spacing w:after="0" w:line="240" w:lineRule="auto"/>
        <w:ind w:right="-1" w:firstLine="567"/>
        <w:jc w:val="both"/>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Следует отметить, что в 2019 году в отношении администрации муниципального района «Корткеросский» Отделом судебных приставов по Корткеросскому району было возбуждено 83 исполнительных производства, в 2022 году на исполнении находилось 39 исполнительных производств, в 2023 году на исполнении находилось 20 исполнительных производств, в 2024 году на исполнении находилось 28 исполнительных производств, в 2025 году в отношении администрации муниципального района «Корткеросский» на исполнении находилось 25 исполнительных производств.</w:t>
      </w:r>
    </w:p>
    <w:p>
      <w:pPr>
        <w:spacing w:after="0" w:line="240" w:lineRule="auto"/>
        <w:ind w:right="-1" w:firstLine="567"/>
        <w:jc w:val="both"/>
        <w:rPr>
          <w:rFonts w:ascii="Times New Roman" w:eastAsia="Times New Roman" w:hAnsi="Times New Roman"/>
          <w:sz w:val="24"/>
          <w:szCs w:val="24"/>
          <w:highlight w:val="yellow"/>
          <w:lang w:eastAsia="ru-RU"/>
        </w:rPr>
      </w:pPr>
    </w:p>
    <w:p>
      <w:pPr>
        <w:widowControl w:val="0"/>
        <w:shd w:val="clear" w:color="auto" w:fill="FFFFFF"/>
        <w:autoSpaceDE w:val="0"/>
        <w:autoSpaceDN w:val="0"/>
        <w:adjustRightInd w:val="0"/>
        <w:spacing w:after="0" w:line="240" w:lineRule="auto"/>
        <w:ind w:firstLine="567"/>
        <w:contextualSpacing/>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b/>
          <w:bCs/>
          <w:color w:val="000000"/>
          <w:spacing w:val="-2"/>
          <w:sz w:val="24"/>
          <w:szCs w:val="24"/>
          <w:lang w:eastAsia="ru-RU"/>
        </w:rPr>
        <w:t>БЕЗОПАСНОСТЬ ЖИЗНЕДЕЯТЕЛЬНОСТИ НАСЕЛЕНИЯ</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highlight w:val="yellow"/>
          <w:lang w:eastAsia="ru-RU"/>
        </w:rPr>
      </w:pP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Вопросы защиты населения и территорий от чрезвычайных ситуаций природного и техногенного характера, гражданской обороны и обеспечения первичных мер пожарной безопасности на территории муниципального района «Корткеросский» в 2024 году осуществлялись в соответствии с Планом основных мероприятий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муниципального района «Корткеросский» на 2025 год, в соответствии, с которым:</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 xml:space="preserve">1) обеспечена работа комиссии по повышению устойчивости функционирования объектов экономики, эвакоприемной комиссии, комиссии по чрезвычайным ситуациям и обеспечению пожарной безопасности;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1) организовано выполнение и контроль работы по устранению выявленных нарушений требований пожарной безопасности в населенных пунктах, подверженных угрозе ландшафтных (природных) пожаров, на территории МР «Корткеросский», в частности по созданию минерализованных полос и иных противопожарных барьеров в сельских поселениях муниципального района «Корткеросский» (</w:t>
      </w:r>
      <w:proofErr w:type="spellStart"/>
      <w:proofErr w:type="gramStart"/>
      <w:r>
        <w:rPr>
          <w:rFonts w:ascii="Times New Roman" w:eastAsia="Times New Roman" w:hAnsi="Times New Roman" w:cs="Times New Roman"/>
          <w:bCs/>
          <w:color w:val="000000"/>
          <w:spacing w:val="-2"/>
          <w:sz w:val="26"/>
          <w:szCs w:val="26"/>
          <w:lang w:eastAsia="ru-RU"/>
        </w:rPr>
        <w:t>Маджа,Зулэб</w:t>
      </w:r>
      <w:proofErr w:type="spellEnd"/>
      <w:proofErr w:type="gramEnd"/>
      <w:r>
        <w:rPr>
          <w:rFonts w:ascii="Times New Roman" w:eastAsia="Times New Roman" w:hAnsi="Times New Roman" w:cs="Times New Roman"/>
          <w:bCs/>
          <w:color w:val="000000"/>
          <w:spacing w:val="-2"/>
          <w:sz w:val="26"/>
          <w:szCs w:val="26"/>
          <w:lang w:eastAsia="ru-RU"/>
        </w:rPr>
        <w:t>);</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 xml:space="preserve">2) обеспечен контроль по освоению финансовых средств в рамках предоставления межбюджетных трансферов сельским поселениям МР «Корткеросский» (Керес, Большелуг, Усть-Лэкчим, Пезмег, Корткерос, Позтыкерос, Приозёрный), имеющие целевое назначение, в целях </w:t>
      </w:r>
      <w:proofErr w:type="spellStart"/>
      <w:r>
        <w:rPr>
          <w:rFonts w:ascii="Times New Roman" w:eastAsia="Times New Roman" w:hAnsi="Times New Roman" w:cs="Times New Roman"/>
          <w:bCs/>
          <w:color w:val="000000"/>
          <w:spacing w:val="-2"/>
          <w:sz w:val="26"/>
          <w:szCs w:val="26"/>
          <w:lang w:eastAsia="ru-RU"/>
        </w:rPr>
        <w:t>софинансирования</w:t>
      </w:r>
      <w:proofErr w:type="spellEnd"/>
      <w:r>
        <w:rPr>
          <w:rFonts w:ascii="Times New Roman" w:eastAsia="Times New Roman" w:hAnsi="Times New Roman" w:cs="Times New Roman"/>
          <w:bCs/>
          <w:color w:val="000000"/>
          <w:spacing w:val="-2"/>
          <w:sz w:val="26"/>
          <w:szCs w:val="26"/>
          <w:lang w:eastAsia="ru-RU"/>
        </w:rPr>
        <w:t xml:space="preserve">, на расходные обязательства органов местного самоуправления в Республике Коми на обеспечение первичных мер пожарной безопасности (обустройство и (или) ремонт пожарных водоемов) на 2025 год с сельскими поселениями было 6814,6 </w:t>
      </w:r>
      <w:proofErr w:type="spellStart"/>
      <w:r>
        <w:rPr>
          <w:rFonts w:ascii="Times New Roman" w:eastAsia="Times New Roman" w:hAnsi="Times New Roman" w:cs="Times New Roman"/>
          <w:bCs/>
          <w:color w:val="000000"/>
          <w:spacing w:val="-2"/>
          <w:sz w:val="26"/>
          <w:szCs w:val="26"/>
          <w:lang w:eastAsia="ru-RU"/>
        </w:rPr>
        <w:t>тыс.руб</w:t>
      </w:r>
      <w:proofErr w:type="spellEnd"/>
      <w:r>
        <w:rPr>
          <w:rFonts w:ascii="Times New Roman" w:eastAsia="Times New Roman" w:hAnsi="Times New Roman" w:cs="Times New Roman"/>
          <w:bCs/>
          <w:color w:val="000000"/>
          <w:spacing w:val="-2"/>
          <w:sz w:val="26"/>
          <w:szCs w:val="26"/>
          <w:lang w:eastAsia="ru-RU"/>
        </w:rPr>
        <w:t>.</w:t>
      </w:r>
    </w:p>
    <w:p>
      <w:pPr>
        <w:spacing w:after="0" w:line="240" w:lineRule="auto"/>
        <w:ind w:firstLine="567"/>
        <w:contextualSpacing/>
        <w:jc w:val="both"/>
        <w:rPr>
          <w:rFonts w:ascii="Times New Roman" w:hAnsi="Times New Roman" w:cs="Times New Roman"/>
          <w:sz w:val="26"/>
          <w:szCs w:val="26"/>
        </w:rPr>
      </w:pPr>
      <w:r>
        <w:rPr>
          <w:rFonts w:ascii="Times New Roman" w:eastAsia="Times New Roman" w:hAnsi="Times New Roman" w:cs="Times New Roman"/>
          <w:bCs/>
          <w:color w:val="000000"/>
          <w:spacing w:val="-2"/>
          <w:sz w:val="26"/>
          <w:szCs w:val="26"/>
          <w:lang w:eastAsia="ru-RU"/>
        </w:rPr>
        <w:t xml:space="preserve">3) </w:t>
      </w:r>
      <w:r>
        <w:rPr>
          <w:rFonts w:ascii="Times New Roman" w:hAnsi="Times New Roman" w:cs="Times New Roman"/>
          <w:color w:val="000000" w:themeColor="text1"/>
          <w:sz w:val="26"/>
          <w:szCs w:val="26"/>
        </w:rPr>
        <w:t xml:space="preserve">На территории муниципального района «Корткеросский» в 2025 году было запланировано открытие 6 пляжей, специально оборудованных для купания со спасательными постами и матросами-спасателями, это: с. Корткерос (река </w:t>
      </w:r>
      <w:proofErr w:type="spellStart"/>
      <w:r>
        <w:rPr>
          <w:rFonts w:ascii="Times New Roman" w:hAnsi="Times New Roman" w:cs="Times New Roman"/>
          <w:color w:val="000000" w:themeColor="text1"/>
          <w:sz w:val="26"/>
          <w:szCs w:val="26"/>
        </w:rPr>
        <w:t>Вычегда</w:t>
      </w:r>
      <w:proofErr w:type="spellEnd"/>
      <w:r>
        <w:rPr>
          <w:rFonts w:ascii="Times New Roman" w:hAnsi="Times New Roman" w:cs="Times New Roman"/>
          <w:color w:val="000000" w:themeColor="text1"/>
          <w:sz w:val="26"/>
          <w:szCs w:val="26"/>
        </w:rPr>
        <w:t>, в районе местечка «</w:t>
      </w:r>
      <w:proofErr w:type="spellStart"/>
      <w:r>
        <w:rPr>
          <w:rFonts w:ascii="Times New Roman" w:hAnsi="Times New Roman" w:cs="Times New Roman"/>
          <w:color w:val="000000" w:themeColor="text1"/>
          <w:sz w:val="26"/>
          <w:szCs w:val="26"/>
        </w:rPr>
        <w:t>Теребей</w:t>
      </w:r>
      <w:proofErr w:type="spellEnd"/>
      <w:r>
        <w:rPr>
          <w:rFonts w:ascii="Times New Roman" w:hAnsi="Times New Roman" w:cs="Times New Roman"/>
          <w:color w:val="000000" w:themeColor="text1"/>
          <w:sz w:val="26"/>
          <w:szCs w:val="26"/>
        </w:rPr>
        <w:t xml:space="preserve">»), с. Богородск (река Нившера, в районе администрации сельского поселения), с. Пезмег (река </w:t>
      </w:r>
      <w:proofErr w:type="spellStart"/>
      <w:r>
        <w:rPr>
          <w:rFonts w:ascii="Times New Roman" w:hAnsi="Times New Roman" w:cs="Times New Roman"/>
          <w:color w:val="000000" w:themeColor="text1"/>
          <w:sz w:val="26"/>
          <w:szCs w:val="26"/>
        </w:rPr>
        <w:t>Вычегда</w:t>
      </w:r>
      <w:proofErr w:type="spellEnd"/>
      <w:r>
        <w:rPr>
          <w:rFonts w:ascii="Times New Roman" w:hAnsi="Times New Roman" w:cs="Times New Roman"/>
          <w:color w:val="000000" w:themeColor="text1"/>
          <w:sz w:val="26"/>
          <w:szCs w:val="26"/>
        </w:rPr>
        <w:t xml:space="preserve">, в районе начала села), с. Подъельск (старица реки </w:t>
      </w:r>
      <w:proofErr w:type="spellStart"/>
      <w:r>
        <w:rPr>
          <w:rFonts w:ascii="Times New Roman" w:hAnsi="Times New Roman" w:cs="Times New Roman"/>
          <w:color w:val="000000" w:themeColor="text1"/>
          <w:sz w:val="26"/>
          <w:szCs w:val="26"/>
        </w:rPr>
        <w:t>Вычегда</w:t>
      </w:r>
      <w:proofErr w:type="spellEnd"/>
      <w:r>
        <w:rPr>
          <w:rFonts w:ascii="Times New Roman" w:hAnsi="Times New Roman" w:cs="Times New Roman"/>
          <w:color w:val="000000" w:themeColor="text1"/>
          <w:sz w:val="26"/>
          <w:szCs w:val="26"/>
        </w:rPr>
        <w:t xml:space="preserve">), с. Нившера (река Нившера, в районе старого разрушенного моста) и п. Мордино (река </w:t>
      </w:r>
      <w:proofErr w:type="spellStart"/>
      <w:r>
        <w:rPr>
          <w:rFonts w:ascii="Times New Roman" w:hAnsi="Times New Roman" w:cs="Times New Roman"/>
          <w:color w:val="000000" w:themeColor="text1"/>
          <w:sz w:val="26"/>
          <w:szCs w:val="26"/>
        </w:rPr>
        <w:t>Локчим</w:t>
      </w:r>
      <w:proofErr w:type="spellEnd"/>
      <w:r>
        <w:rPr>
          <w:rFonts w:ascii="Times New Roman" w:hAnsi="Times New Roman" w:cs="Times New Roman"/>
          <w:color w:val="000000" w:themeColor="text1"/>
          <w:sz w:val="26"/>
          <w:szCs w:val="26"/>
        </w:rPr>
        <w:t xml:space="preserve">, традиционное место купания населения). По факту в период с 8 по 18 августа 2025 года функционировало 3 официально открытых пляжа, специально оборудованных для купания (Нившера, Пезмег, Богородск). Пляжи в остальных местах, специально оборудованных для купания планированных к открытию в купальном сезоне 2025 года не функционировали по объективным причинам. Так, в СП Корткерос из-за отсутствия </w:t>
      </w:r>
      <w:proofErr w:type="spellStart"/>
      <w:r>
        <w:rPr>
          <w:rFonts w:ascii="Times New Roman" w:hAnsi="Times New Roman" w:cs="Times New Roman"/>
          <w:color w:val="000000" w:themeColor="text1"/>
          <w:sz w:val="26"/>
          <w:szCs w:val="26"/>
        </w:rPr>
        <w:t>спаспоста</w:t>
      </w:r>
      <w:proofErr w:type="spellEnd"/>
      <w:r>
        <w:rPr>
          <w:rFonts w:ascii="Times New Roman" w:hAnsi="Times New Roman" w:cs="Times New Roman"/>
          <w:color w:val="000000" w:themeColor="text1"/>
          <w:sz w:val="26"/>
          <w:szCs w:val="26"/>
        </w:rPr>
        <w:t xml:space="preserve"> (процесс </w:t>
      </w:r>
      <w:r>
        <w:rPr>
          <w:rFonts w:ascii="Times New Roman" w:hAnsi="Times New Roman" w:cs="Times New Roman"/>
          <w:color w:val="000000" w:themeColor="text1"/>
          <w:sz w:val="26"/>
          <w:szCs w:val="26"/>
        </w:rPr>
        <w:lastRenderedPageBreak/>
        <w:t xml:space="preserve">приобретения по муниципальным контрактам занял большее время, чем планировалось), в СП Подъельск отсутствие матраса-спасателя. Однако, во всех местах массового отдыха людей у воды было обеспечено дежурство наблюдателя. Открытие пляжей на территории муниципального района «Корткеросский» осуществляется в соответствии с постановлением администрации от 01.08.2025 № 971. Постановлением администрации МР «Корткеросский» № 1030 от 18.08.2025 года «О закрытии </w:t>
      </w:r>
      <w:r>
        <w:rPr>
          <w:rFonts w:ascii="Times New Roman" w:hAnsi="Times New Roman" w:cs="Times New Roman"/>
          <w:bCs/>
          <w:kern w:val="36"/>
          <w:sz w:val="26"/>
          <w:szCs w:val="26"/>
        </w:rPr>
        <w:t xml:space="preserve">купального сезона на территории муниципального района «Корткеросский» в 2025 году» </w:t>
      </w:r>
      <w:r>
        <w:rPr>
          <w:rFonts w:ascii="Times New Roman" w:hAnsi="Times New Roman" w:cs="Times New Roman"/>
          <w:sz w:val="26"/>
          <w:szCs w:val="26"/>
        </w:rPr>
        <w:t xml:space="preserve">спас посты завершили свою работу. </w:t>
      </w:r>
      <w:r>
        <w:rPr>
          <w:rFonts w:ascii="Times New Roman" w:hAnsi="Times New Roman" w:cs="Times New Roman"/>
          <w:sz w:val="26"/>
          <w:szCs w:val="26"/>
        </w:rPr>
        <w:tab/>
      </w:r>
    </w:p>
    <w:p>
      <w:pPr>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color w:val="000000" w:themeColor="text1"/>
          <w:sz w:val="26"/>
          <w:szCs w:val="26"/>
        </w:rPr>
        <w:t>Пляжи в остальных местах не открыты по причине несоответствия требований нормативных правовых актов по скоростным характеристикам течения реки (скорость превышает 0,5 м/с) и наличия противоэпидемиологических показаний ФГБУ «Центр гигиены и эпидемиологии Республики Коми».</w:t>
      </w:r>
      <w:r>
        <w:rPr>
          <w:rFonts w:ascii="Times New Roman" w:eastAsia="Times New Roman" w:hAnsi="Times New Roman" w:cs="Times New Roman"/>
          <w:bCs/>
          <w:color w:val="000000"/>
          <w:spacing w:val="-2"/>
          <w:sz w:val="26"/>
          <w:szCs w:val="26"/>
          <w:lang w:eastAsia="ru-RU"/>
        </w:rPr>
        <w:t xml:space="preserve">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 xml:space="preserve">В с. Корткерос было организованно место отдыха людей у воды, </w:t>
      </w:r>
      <w:r>
        <w:rPr>
          <w:rFonts w:ascii="Times New Roman" w:hAnsi="Times New Roman" w:cs="Times New Roman"/>
          <w:sz w:val="26"/>
          <w:szCs w:val="26"/>
        </w:rPr>
        <w:t>так как году спасательный пост в с. Корткерос в судебном порядке был изъят и передан в Коми республиканскую общественную организацию спасения на водах (ВОСВОД). На сегодняшний день выдвижной спасательный пост приобретен и передан в оперативное управление сельскому поселению Корткерос.</w:t>
      </w:r>
    </w:p>
    <w:p>
      <w:pPr>
        <w:pStyle w:val="a6"/>
        <w:shd w:val="clear" w:color="auto" w:fill="FFFFFF"/>
        <w:spacing w:after="0" w:line="240" w:lineRule="auto"/>
        <w:ind w:left="0" w:firstLine="709"/>
        <w:jc w:val="both"/>
        <w:rPr>
          <w:rFonts w:ascii="Times New Roman" w:hAnsi="Times New Roman"/>
          <w:color w:val="000000"/>
          <w:sz w:val="26"/>
          <w:szCs w:val="26"/>
        </w:rPr>
      </w:pPr>
      <w:r>
        <w:rPr>
          <w:rFonts w:ascii="Times New Roman" w:hAnsi="Times New Roman"/>
          <w:color w:val="000000"/>
          <w:sz w:val="26"/>
          <w:szCs w:val="26"/>
          <w:lang w:bidi="ru-RU"/>
        </w:rPr>
        <w:t xml:space="preserve">Объем финансирования </w:t>
      </w:r>
      <w:r>
        <w:rPr>
          <w:rFonts w:ascii="Times New Roman" w:hAnsi="Times New Roman"/>
          <w:sz w:val="26"/>
          <w:szCs w:val="26"/>
        </w:rPr>
        <w:t xml:space="preserve">в рамках межбюджетных трансфертов, предоставляемых из бюджета муниципального района «Корткеросский» бюджетам муниципальных образований сельских поселений на осуществление части полномочий муниципального района «Корткеросский» на 2025 год, связанных с осуществления мероприятий по обеспечению безопасности на водных объектах, охране жизни и здоровья в </w:t>
      </w:r>
      <w:r>
        <w:rPr>
          <w:rFonts w:ascii="Times New Roman" w:hAnsi="Times New Roman"/>
          <w:color w:val="000000"/>
          <w:sz w:val="26"/>
          <w:szCs w:val="26"/>
        </w:rPr>
        <w:t>специально оборудованных местах для купания составляет 737 361,80 из них 42 000,0 расходы на обучение матросов-спасателей, 695 361,80 заработная плата матросов-спасателей (исходя из количества ставок).</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 xml:space="preserve">По итогам купального сезона 2025 года происшествий на воде в границах санкционированных пляжей не допущено.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 xml:space="preserve">5) обеспечено участие во всех тренировках и учениях в области ГО и ЧС, в том числе тактико-специальное учение по отработке совместных действий при ликвидации последствий чрезвычайной ситуации, вызванной дорожно-транспортным пришествием.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6"/>
          <w:szCs w:val="26"/>
          <w:lang w:eastAsia="ru-RU"/>
        </w:rPr>
      </w:pPr>
      <w:r>
        <w:rPr>
          <w:rFonts w:ascii="Times New Roman" w:eastAsia="Times New Roman" w:hAnsi="Times New Roman" w:cs="Times New Roman"/>
          <w:bCs/>
          <w:color w:val="000000"/>
          <w:spacing w:val="-2"/>
          <w:sz w:val="26"/>
          <w:szCs w:val="26"/>
          <w:lang w:eastAsia="ru-RU"/>
        </w:rPr>
        <w:t>Ежегодно сотрудники управления по делам ГО, ЧС и СР МР «Корткеросский» принимают участие в прямых линиях, организованных Службой Общественной приёмной Главы Республики Коми по Корткеросскому району с учетом сезонных рисков возникновения чрезвычайных ситуаций.</w:t>
      </w:r>
    </w:p>
    <w:p>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sz w:val="24"/>
          <w:szCs w:val="24"/>
        </w:rPr>
      </w:pPr>
      <w:r>
        <w:rPr>
          <w:rFonts w:ascii="Times New Roman" w:eastAsia="Times New Roman" w:hAnsi="Times New Roman" w:cs="Times New Roman"/>
          <w:bCs/>
          <w:color w:val="000000"/>
          <w:spacing w:val="-2"/>
          <w:sz w:val="24"/>
          <w:szCs w:val="24"/>
          <w:lang w:eastAsia="ru-RU"/>
        </w:rPr>
        <w:t>По подготовке населения в области ГО и ЧС: н</w:t>
      </w:r>
      <w:r>
        <w:rPr>
          <w:rFonts w:ascii="Times New Roman" w:hAnsi="Times New Roman" w:cs="Times New Roman"/>
          <w:sz w:val="24"/>
          <w:szCs w:val="24"/>
        </w:rPr>
        <w:t>а территории муниципального района «Корткеросский» функционирует 19 учебно- консультационных пунктов по гражданской обороне по обучению населения, не занятого в производстве и сфере обслуживания (неработающего населения). 18 учебно- консультационных пунктов созданы на базе администраций всех сельских поселений района. И один учебно- консультационный пункт на базе администрации муниципального района, организованный управлением по делам ГО, ЧС и СР</w:t>
      </w:r>
      <w:r>
        <w:rPr>
          <w:rFonts w:ascii="Times New Roman" w:hAnsi="Times New Roman" w:cs="Times New Roman"/>
          <w:color w:val="000000"/>
          <w:sz w:val="24"/>
          <w:szCs w:val="24"/>
        </w:rPr>
        <w:t xml:space="preserve">, который укомплектован всем необходимым оборудованием, методическим материалом, также запущена его </w:t>
      </w:r>
      <w:r>
        <w:rPr>
          <w:rFonts w:ascii="Times New Roman" w:hAnsi="Times New Roman" w:cs="Times New Roman"/>
          <w:sz w:val="24"/>
          <w:szCs w:val="24"/>
        </w:rPr>
        <w:t xml:space="preserve">виртуальная версия со всей информационной базой на официальном сайте администрации муниципального района «Корткеросский» и </w:t>
      </w:r>
      <w:r>
        <w:rPr>
          <w:rFonts w:ascii="Times New Roman" w:hAnsi="Times New Roman" w:cs="Times New Roman"/>
          <w:color w:val="000000" w:themeColor="text1"/>
          <w:sz w:val="24"/>
          <w:szCs w:val="24"/>
        </w:rPr>
        <w:t xml:space="preserve">предназначена для самостоятельного изучения, позволяет </w:t>
      </w:r>
      <w:r>
        <w:rPr>
          <w:rFonts w:ascii="Times New Roman" w:hAnsi="Times New Roman" w:cs="Times New Roman"/>
          <w:color w:val="000000" w:themeColor="text1"/>
          <w:sz w:val="24"/>
          <w:szCs w:val="24"/>
          <w:shd w:val="clear" w:color="auto" w:fill="FFFFFF"/>
        </w:rPr>
        <w:t>увеличить численность охвата населения, особенно маломобильного и проживающего в сельских поселениях</w:t>
      </w:r>
      <w:r>
        <w:rPr>
          <w:rFonts w:ascii="Times New Roman" w:hAnsi="Times New Roman" w:cs="Times New Roman"/>
          <w:sz w:val="24"/>
          <w:szCs w:val="24"/>
        </w:rPr>
        <w:t xml:space="preserve">. </w:t>
      </w:r>
    </w:p>
    <w:p>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Систематизация работы УКП района направлена на методическую и организационную помощь, оказываемую управлением по делам ГО, ЧС и СР, одинаковый и узнаваемый формат всех УКП, единое и полное содержание информации. Ежегодно проводится инструкторско- методическое занятие. Проводится общий закуп тематических </w:t>
      </w:r>
      <w:r>
        <w:rPr>
          <w:rFonts w:ascii="Times New Roman" w:hAnsi="Times New Roman" w:cs="Times New Roman"/>
          <w:sz w:val="24"/>
          <w:szCs w:val="24"/>
        </w:rPr>
        <w:lastRenderedPageBreak/>
        <w:t>плакатов, так в декабре 2025 года для всех УКП приобретены плакаты формата А2 по следующим направлениям: уголок гражданской обороны на 3 листах, действия при чрезвычайных ситуациях на 3 листах, «Осторожно терроризм!» на 2 листах. Комплекты плакатов переданы 20 УКП района в дополнение к закупленным годом ранее уголкам ГОЧС.</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Организована работа по разработке и распространению памяток по действиям ГО и при ЧС. Памятки печатаются тиражами от 10 до 50 шт. и передаются на коллегии главам сельских поселений, также по электронной почте всем структурным подразделениям и организациям, осуществляющим свою деятельность на территории муниципального района.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Управлением по делам ГО, ЧС и специальной работы ведется учет подготовки должностных лиц и специалистов РСЧС и ГО, в том числе и УКП, а также отчетных документов по мероприятиям обучения различных групп населения.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Ежегодно сотрудники управления по делам ГО, ЧС и СР МР «Корткеросский» принимают участие в прямых линиях, организованных Службой Общественной приёмной Главы Республики Коми по Корткеросскому району.</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В части планирования эвакуационных мероприятий 29 организаций завершили обследование безопасного района, по результатам которого сформированы полные пакеты документов. 5 организаций в настоящее время в процессе соглашения.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Организована работа эвакоприемной комиссии муниципального района «Корткеросский».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В области гражданской обороны основная работа направлена на расчеты и планирование мероприятий на плановый период 2028-2032 гг., участие в штабных тренировках и деловых играх с отработкой практических действий и принятию управленческих решений.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Организована работа с работниками, населением, образовательными организациями по проведению дополнительных занятий при получении сигнала «ВНИМАНИЕ ВАСЕМ» с доведением информации по беспилотной опасности.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Завершена работа по отнесению организаций, дислоцирующихся на территории муниципального района к категориям по гражданской обороне, определены организации, выполняющие мероприятия по ГО. </w:t>
      </w:r>
    </w:p>
    <w:p>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Четыре из семи защитных сооружений муниципального района состоят в Дорожной карте защитных сооружений Республики Коми, утвержденной Временно- исполняющим обязанности Главы Республики Коми Гольдштейном Р.Э. от 11 апреля 2025 г. и проходят процедуру перевода с противорадиационного укрытия в простое укрытие. Что позволит привести в готовность подвалы для укрытия населения при минимальных затратах. </w:t>
      </w:r>
    </w:p>
    <w:p>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 – в здании ЦРБ (подготовлен и согласован полный пакет на отправку в Департамент гражданской обороны) </w:t>
      </w:r>
    </w:p>
    <w:p>
      <w:pPr>
        <w:spacing w:after="0" w:line="240" w:lineRule="auto"/>
        <w:ind w:firstLine="709"/>
        <w:jc w:val="both"/>
        <w:rPr>
          <w:rFonts w:ascii="Times New Roman" w:hAnsi="Times New Roman" w:cs="Times New Roman"/>
          <w:color w:val="2C2D2E"/>
          <w:sz w:val="24"/>
          <w:szCs w:val="24"/>
        </w:rPr>
      </w:pPr>
      <w:r>
        <w:rPr>
          <w:rFonts w:ascii="Times New Roman" w:hAnsi="Times New Roman" w:cs="Times New Roman"/>
          <w:sz w:val="24"/>
          <w:szCs w:val="24"/>
        </w:rPr>
        <w:t>3 - расположены в зданиях муниципальной собственности, переданных в оперативное управление организациям, осуществляющим образовательную деятельность «МОУ СОШ» п. Аджером, МОУ «СОШ» с. Большелуг, МОУ «СОШ» с. Подъельск</w:t>
      </w:r>
      <w:r>
        <w:rPr>
          <w:rFonts w:ascii="Times New Roman" w:hAnsi="Times New Roman" w:cs="Times New Roman"/>
          <w:color w:val="2C2D2E"/>
          <w:sz w:val="24"/>
          <w:szCs w:val="24"/>
        </w:rPr>
        <w:t xml:space="preserve">. Проходят процедуру согласования пакета документов с Главным управлением МЧС России по Республике Коми.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В рамках деятельности по профилактике терроризма и экстремизма регулярно проводятся заседания комиссий. Одним из ключевых направлений работы Антитеррористической комиссии в муниципальном районе «Корткеросский» является проведение профилактических мероприятий, направленных на предотвращение вовлечения молодёжи в преступную деятельность. В средствах массовой информации было опубликовано более 200 материалов, посвящённых информационной пропаганде в области профилактики терроризма и экстремизма. С молодёжью было проведено более 150 профилактических мероприятий. Уровень антитеррористической защищённости потенциальных объектов террористических составляет 48%.</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В дежурную службу Единой дежурно-диспетчерской службы муниципального района «Корткеросский» в 2025 году поступило 343 сообщений о происшествиях от населения и </w:t>
      </w:r>
      <w:r>
        <w:rPr>
          <w:rFonts w:ascii="Times New Roman" w:eastAsia="Times New Roman" w:hAnsi="Times New Roman" w:cs="Times New Roman"/>
          <w:bCs/>
          <w:color w:val="000000"/>
          <w:spacing w:val="-2"/>
          <w:sz w:val="24"/>
          <w:szCs w:val="24"/>
          <w:lang w:eastAsia="ru-RU"/>
        </w:rPr>
        <w:lastRenderedPageBreak/>
        <w:t xml:space="preserve">организаций по телефону и 653 вызовов поступило по Системе – 112. Для предупреждения возможных чрезвычайных ситуаций подготовлены и направлены в организации и населению 365 оперативных прогнозов угроз возникновения и развития чрезвычайных ситуаций с ответствующими рекомендациями по недопущению чрезвычайных ситуаций, подготовлены и направлены 39 штормовых предупреждения в связи с неблагоприятными погодными явлениями, проведено 12 технических проверок местной системы оповещения, 2 из которых в ходе комплексной проверки. Проведено 36 практических тренировок по реагированию на угрозы возникновения и возникновения чрезвычайных ситуаций, в основном с оценкой на «хорошо».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 xml:space="preserve">В 2025 году в рамках реализации Плана мероприятий по развитию муниципальной системы оповещения населения до уровня «Готова к выполнению задач» на территории муниципального района «Корткеросский» было установлено 3 комплекта мощных акустических устройств «БАО-300» в населенных пунктах: </w:t>
      </w:r>
      <w:proofErr w:type="spellStart"/>
      <w:r>
        <w:rPr>
          <w:rFonts w:ascii="Times New Roman" w:eastAsia="Times New Roman" w:hAnsi="Times New Roman" w:cs="Times New Roman"/>
          <w:bCs/>
          <w:color w:val="000000"/>
          <w:spacing w:val="-2"/>
          <w:sz w:val="24"/>
          <w:szCs w:val="24"/>
          <w:lang w:eastAsia="ru-RU"/>
        </w:rPr>
        <w:t>с.Вомын</w:t>
      </w:r>
      <w:proofErr w:type="spellEnd"/>
      <w:r>
        <w:rPr>
          <w:rFonts w:ascii="Times New Roman" w:eastAsia="Times New Roman" w:hAnsi="Times New Roman" w:cs="Times New Roman"/>
          <w:bCs/>
          <w:color w:val="000000"/>
          <w:spacing w:val="-2"/>
          <w:sz w:val="24"/>
          <w:szCs w:val="24"/>
          <w:lang w:eastAsia="ru-RU"/>
        </w:rPr>
        <w:t xml:space="preserve">, с. Подъельск, </w:t>
      </w:r>
      <w:proofErr w:type="spellStart"/>
      <w:r>
        <w:rPr>
          <w:rFonts w:ascii="Times New Roman" w:eastAsia="Times New Roman" w:hAnsi="Times New Roman" w:cs="Times New Roman"/>
          <w:bCs/>
          <w:color w:val="000000"/>
          <w:spacing w:val="-2"/>
          <w:sz w:val="24"/>
          <w:szCs w:val="24"/>
          <w:lang w:eastAsia="ru-RU"/>
        </w:rPr>
        <w:t>п.Аджером</w:t>
      </w:r>
      <w:proofErr w:type="spellEnd"/>
      <w:r>
        <w:rPr>
          <w:rFonts w:ascii="Times New Roman" w:eastAsia="Times New Roman" w:hAnsi="Times New Roman" w:cs="Times New Roman"/>
          <w:bCs/>
          <w:color w:val="000000"/>
          <w:spacing w:val="-2"/>
          <w:sz w:val="24"/>
          <w:szCs w:val="24"/>
          <w:lang w:eastAsia="ru-RU"/>
        </w:rPr>
        <w:t xml:space="preserve">. На сегодняшний день на территории района установлено 14 комплектов мощных акустических устройств «БАО-300» и один комплект блока управления электромеханический сиреной «БУС-МС-380», таким образом в зоне действия технических средств муниципальной системы оповещения находится 13796 человек, что составляет 76,5 % и оценивается как «Готова к выполнению задач». </w:t>
      </w:r>
    </w:p>
    <w:p>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ab/>
        <w:t xml:space="preserve">По совершенствованию деятельности и развития ЕДДС: за 2025 год в помещении ЕДДС установлена независимая автономная точка доступа к сети интернет, которая обеспечивает бесперебойную работу интернета в случае отключения электроснабжения. Произведена замена технической системы оповещения PVR-4USB на более обновленную модель, где помимо телефонного </w:t>
      </w:r>
      <w:proofErr w:type="spellStart"/>
      <w:r>
        <w:rPr>
          <w:rFonts w:ascii="Times New Roman" w:eastAsia="Times New Roman" w:hAnsi="Times New Roman" w:cs="Times New Roman"/>
          <w:bCs/>
          <w:color w:val="000000"/>
          <w:spacing w:val="-2"/>
          <w:sz w:val="24"/>
          <w:szCs w:val="24"/>
          <w:lang w:eastAsia="ru-RU"/>
        </w:rPr>
        <w:t>обзвона</w:t>
      </w:r>
      <w:proofErr w:type="spellEnd"/>
      <w:r>
        <w:rPr>
          <w:rFonts w:ascii="Times New Roman" w:eastAsia="Times New Roman" w:hAnsi="Times New Roman" w:cs="Times New Roman"/>
          <w:bCs/>
          <w:color w:val="000000"/>
          <w:spacing w:val="-2"/>
          <w:sz w:val="24"/>
          <w:szCs w:val="24"/>
          <w:lang w:eastAsia="ru-RU"/>
        </w:rPr>
        <w:t xml:space="preserve"> абонентов, производится СМС рассылка оповещаемым должностным лицам. Для улучшения работы оперативного дежурного ЕДДС приобретена организационная техника: мониторы, клавиатуры, гарнитура.</w:t>
      </w:r>
    </w:p>
    <w:p>
      <w:pPr>
        <w:spacing w:after="0" w:line="240" w:lineRule="auto"/>
        <w:ind w:right="-1" w:firstLine="567"/>
        <w:jc w:val="both"/>
        <w:rPr>
          <w:rFonts w:ascii="Times New Roman" w:eastAsia="Times New Roman" w:hAnsi="Times New Roman"/>
          <w:sz w:val="24"/>
          <w:szCs w:val="24"/>
          <w:lang w:eastAsia="ru-RU"/>
        </w:rPr>
      </w:pPr>
    </w:p>
    <w:p>
      <w:pPr>
        <w:spacing w:after="0" w:line="240" w:lineRule="auto"/>
        <w:ind w:firstLine="567"/>
        <w:contextualSpacing/>
        <w:jc w:val="both"/>
        <w:rPr>
          <w:rFonts w:ascii="Times New Roman" w:eastAsia="Times New Roman" w:hAnsi="Times New Roman" w:cs="Times New Roman"/>
          <w:sz w:val="24"/>
          <w:szCs w:val="24"/>
          <w:bdr w:val="none" w:sz="0" w:space="0" w:color="auto" w:frame="1"/>
          <w:lang w:eastAsia="ru-RU"/>
        </w:rPr>
      </w:pPr>
    </w:p>
    <w:p>
      <w:pPr>
        <w:tabs>
          <w:tab w:val="left" w:pos="8505"/>
        </w:tabs>
        <w:rPr>
          <w:rFonts w:ascii="Times New Roman" w:eastAsia="Times New Roman" w:hAnsi="Times New Roman" w:cs="Times New Roman"/>
          <w:sz w:val="24"/>
          <w:szCs w:val="24"/>
          <w:lang w:eastAsia="ru-RU"/>
        </w:rPr>
      </w:pPr>
    </w:p>
    <w:sectPr>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46299"/>
    <w:multiLevelType w:val="multilevel"/>
    <w:tmpl w:val="B89CD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64B4A"/>
    <w:multiLevelType w:val="hybridMultilevel"/>
    <w:tmpl w:val="8EB8D1E0"/>
    <w:lvl w:ilvl="0" w:tplc="1DD61D9A">
      <w:start w:val="1"/>
      <w:numFmt w:val="decimal"/>
      <w:lvlText w:val="%1)"/>
      <w:lvlJc w:val="left"/>
      <w:pPr>
        <w:ind w:left="927" w:hanging="360"/>
      </w:pPr>
      <w:rPr>
        <w:rFonts w:ascii="Times New Roman" w:eastAsiaTheme="minorEastAsia"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6372153"/>
    <w:multiLevelType w:val="multilevel"/>
    <w:tmpl w:val="6C7E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A87761"/>
    <w:multiLevelType w:val="hybridMultilevel"/>
    <w:tmpl w:val="E346B85A"/>
    <w:lvl w:ilvl="0" w:tplc="F3220A4C">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0AEC3B20"/>
    <w:multiLevelType w:val="multilevel"/>
    <w:tmpl w:val="E23CB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C43929"/>
    <w:multiLevelType w:val="multilevel"/>
    <w:tmpl w:val="0ABE6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18795B"/>
    <w:multiLevelType w:val="hybridMultilevel"/>
    <w:tmpl w:val="F5EA9BCA"/>
    <w:lvl w:ilvl="0" w:tplc="401E52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1F92D29"/>
    <w:multiLevelType w:val="multilevel"/>
    <w:tmpl w:val="5E00B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A86B64"/>
    <w:multiLevelType w:val="multilevel"/>
    <w:tmpl w:val="6844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E633F"/>
    <w:multiLevelType w:val="hybridMultilevel"/>
    <w:tmpl w:val="A26C94B6"/>
    <w:lvl w:ilvl="0" w:tplc="00CCE992">
      <w:start w:val="1"/>
      <w:numFmt w:val="bullet"/>
      <w:lvlText w:val="–"/>
      <w:lvlJc w:val="left"/>
      <w:pPr>
        <w:ind w:left="1070" w:hanging="360"/>
      </w:pPr>
      <w:rPr>
        <w:rFonts w:ascii="Simplified Arabic Fixed" w:hAnsi="Simplified Arabic Fixed" w:cs="Simplified Arabic Fixed"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0" w15:restartNumberingAfterBreak="0">
    <w:nsid w:val="29AC6C7F"/>
    <w:multiLevelType w:val="multilevel"/>
    <w:tmpl w:val="2422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AF6129"/>
    <w:multiLevelType w:val="multilevel"/>
    <w:tmpl w:val="373C4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325704"/>
    <w:multiLevelType w:val="multilevel"/>
    <w:tmpl w:val="E424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F100DA"/>
    <w:multiLevelType w:val="multilevel"/>
    <w:tmpl w:val="B3C4F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954131"/>
    <w:multiLevelType w:val="multilevel"/>
    <w:tmpl w:val="47F8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C85D52"/>
    <w:multiLevelType w:val="hybridMultilevel"/>
    <w:tmpl w:val="CB0C294A"/>
    <w:lvl w:ilvl="0" w:tplc="401E52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2004458"/>
    <w:multiLevelType w:val="multilevel"/>
    <w:tmpl w:val="2E4C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E35198"/>
    <w:multiLevelType w:val="hybridMultilevel"/>
    <w:tmpl w:val="EDDA45BA"/>
    <w:lvl w:ilvl="0" w:tplc="401E52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9"/>
  </w:num>
  <w:num w:numId="3">
    <w:abstractNumId w:val="6"/>
  </w:num>
  <w:num w:numId="4">
    <w:abstractNumId w:val="1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8"/>
  </w:num>
  <w:num w:numId="8">
    <w:abstractNumId w:val="14"/>
  </w:num>
  <w:num w:numId="9">
    <w:abstractNumId w:val="16"/>
  </w:num>
  <w:num w:numId="10">
    <w:abstractNumId w:val="2"/>
  </w:num>
  <w:num w:numId="11">
    <w:abstractNumId w:val="12"/>
  </w:num>
  <w:num w:numId="12">
    <w:abstractNumId w:val="5"/>
  </w:num>
  <w:num w:numId="13">
    <w:abstractNumId w:val="4"/>
  </w:num>
  <w:num w:numId="14">
    <w:abstractNumId w:val="0"/>
  </w:num>
  <w:num w:numId="15">
    <w:abstractNumId w:val="11"/>
  </w:num>
  <w:num w:numId="16">
    <w:abstractNumId w:val="10"/>
  </w:num>
  <w:num w:numId="17">
    <w:abstractNumId w:val="13"/>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066F0D-C4F3-485C-9DD8-8E20D3CD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spacing w:before="240" w:after="60" w:line="240" w:lineRule="auto"/>
      <w:outlineLvl w:val="0"/>
    </w:pPr>
    <w:rPr>
      <w:rFonts w:ascii="Arial" w:eastAsia="Times New Roman" w:hAnsi="Arial" w:cs="Times New Roman"/>
      <w:b/>
      <w:noProof/>
      <w:kern w:val="28"/>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table" w:styleId="a5">
    <w:name w:val="Table Grid"/>
    <w:basedOn w:val="a1"/>
    <w:uiPriority w:val="5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34"/>
    <w:qFormat/>
    <w:pPr>
      <w:ind w:left="720"/>
      <w:contextualSpacing/>
    </w:pPr>
  </w:style>
  <w:style w:type="character" w:customStyle="1" w:styleId="10">
    <w:name w:val="Заголовок 1 Знак"/>
    <w:basedOn w:val="a0"/>
    <w:link w:val="1"/>
    <w:rPr>
      <w:rFonts w:ascii="Arial" w:eastAsia="Times New Roman" w:hAnsi="Arial" w:cs="Times New Roman"/>
      <w:b/>
      <w:noProof/>
      <w:kern w:val="28"/>
      <w:sz w:val="28"/>
      <w:szCs w:val="20"/>
      <w:lang w:eastAsia="ru-RU"/>
    </w:rPr>
  </w:style>
  <w:style w:type="numbering" w:customStyle="1" w:styleId="11">
    <w:name w:val="Нет списка1"/>
    <w:next w:val="a2"/>
    <w:uiPriority w:val="99"/>
    <w:semiHidden/>
    <w:unhideWhenUsed/>
  </w:style>
  <w:style w:type="paragraph" w:styleId="a8">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Pr>
      <w:rFonts w:ascii="Calibri" w:eastAsia="Times New Roman" w:hAnsi="Calibri" w:cs="Times New Roman"/>
    </w:rPr>
  </w:style>
  <w:style w:type="paragraph" w:styleId="aa">
    <w:name w:val="No Spacing"/>
    <w:link w:val="a9"/>
    <w:uiPriority w:val="1"/>
    <w:qFormat/>
    <w:pPr>
      <w:spacing w:after="0" w:line="240" w:lineRule="auto"/>
    </w:pPr>
    <w:rPr>
      <w:rFonts w:ascii="Calibri" w:eastAsia="Times New Roman" w:hAnsi="Calibri" w:cs="Times New Roman"/>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text1">
    <w:name w:val="text1"/>
    <w:rPr>
      <w:rFonts w:ascii="Times New Roman CYR" w:hAnsi="Times New Roman CYR" w:cs="Times New Roman CYR" w:hint="default"/>
      <w:b w:val="0"/>
      <w:bCs w:val="0"/>
      <w:color w:val="000000"/>
      <w:sz w:val="24"/>
      <w:szCs w:val="24"/>
    </w:rPr>
  </w:style>
  <w:style w:type="character" w:styleId="ab">
    <w:name w:val="Emphasis"/>
    <w:basedOn w:val="a0"/>
    <w:uiPriority w:val="20"/>
    <w:qFormat/>
    <w:rPr>
      <w:i/>
      <w:iCs/>
    </w:rPr>
  </w:style>
  <w:style w:type="character" w:styleId="ac">
    <w:name w:val="Strong"/>
    <w:basedOn w:val="a0"/>
    <w:uiPriority w:val="22"/>
    <w:qFormat/>
    <w:rPr>
      <w:b/>
      <w:bCs/>
    </w:rPr>
  </w:style>
  <w:style w:type="paragraph" w:styleId="ad">
    <w:name w:val="Body Text Indent"/>
    <w:basedOn w:val="a"/>
    <w:link w:val="ae"/>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Pr>
      <w:rFonts w:ascii="Times New Roman" w:eastAsia="Times New Roman" w:hAnsi="Times New Roman" w:cs="Times New Roman"/>
      <w:sz w:val="28"/>
      <w:szCs w:val="20"/>
      <w:lang w:eastAsia="ru-RU"/>
    </w:rPr>
  </w:style>
  <w:style w:type="character" w:customStyle="1" w:styleId="002">
    <w:name w:val="Заголовок 002 Знак"/>
    <w:link w:val="0020"/>
    <w:locked/>
    <w:rPr>
      <w:b/>
      <w:i/>
      <w:snapToGrid w:val="0"/>
      <w:sz w:val="28"/>
      <w:szCs w:val="28"/>
    </w:rPr>
  </w:style>
  <w:style w:type="paragraph" w:customStyle="1" w:styleId="0020">
    <w:name w:val="Заголовок 002"/>
    <w:basedOn w:val="a"/>
    <w:link w:val="002"/>
    <w:qFormat/>
    <w:pPr>
      <w:keepNext/>
      <w:snapToGrid w:val="0"/>
      <w:spacing w:after="0" w:line="240" w:lineRule="auto"/>
      <w:ind w:firstLine="709"/>
      <w:jc w:val="center"/>
    </w:pPr>
    <w:rPr>
      <w:b/>
      <w:i/>
      <w:snapToGrid w:val="0"/>
      <w:sz w:val="28"/>
      <w:szCs w:val="28"/>
    </w:rPr>
  </w:style>
  <w:style w:type="paragraph" w:customStyle="1" w:styleId="12">
    <w:name w:val="Обычный1"/>
    <w:pPr>
      <w:spacing w:before="100" w:after="100" w:line="240" w:lineRule="auto"/>
    </w:pPr>
    <w:rPr>
      <w:rFonts w:ascii="Times New Roman" w:eastAsia="Times New Roman" w:hAnsi="Times New Roman" w:cs="Times New Roman"/>
      <w:sz w:val="24"/>
      <w:szCs w:val="24"/>
      <w:lang w:eastAsia="ru-RU"/>
    </w:rPr>
  </w:style>
  <w:style w:type="character" w:customStyle="1" w:styleId="af">
    <w:name w:val="Основной текст_"/>
    <w:basedOn w:val="a0"/>
    <w:link w:val="4"/>
    <w:rPr>
      <w:rFonts w:ascii="Times New Roman" w:eastAsia="Times New Roman" w:hAnsi="Times New Roman" w:cs="Times New Roman"/>
      <w:sz w:val="16"/>
      <w:szCs w:val="16"/>
      <w:shd w:val="clear" w:color="auto" w:fill="FFFFFF"/>
    </w:rPr>
  </w:style>
  <w:style w:type="paragraph" w:customStyle="1" w:styleId="4">
    <w:name w:val="Основной текст4"/>
    <w:basedOn w:val="a"/>
    <w:link w:val="af"/>
    <w:pPr>
      <w:widowControl w:val="0"/>
      <w:shd w:val="clear" w:color="auto" w:fill="FFFFFF"/>
      <w:spacing w:after="420" w:line="240" w:lineRule="exact"/>
    </w:pPr>
    <w:rPr>
      <w:rFonts w:ascii="Times New Roman" w:eastAsia="Times New Roman" w:hAnsi="Times New Roman" w:cs="Times New Roman"/>
      <w:sz w:val="16"/>
      <w:szCs w:val="16"/>
    </w:rPr>
  </w:style>
  <w:style w:type="paragraph" w:styleId="af0">
    <w:name w:val="Plain Text"/>
    <w:basedOn w:val="a"/>
    <w:link w:val="af1"/>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Текст Знак"/>
    <w:basedOn w:val="a0"/>
    <w:link w:val="af0"/>
    <w:uiPriority w:val="99"/>
    <w:rPr>
      <w:rFonts w:ascii="Times New Roman" w:eastAsia="Times New Roman" w:hAnsi="Times New Roman" w:cs="Times New Roman"/>
      <w:sz w:val="24"/>
      <w:szCs w:val="24"/>
      <w:lang w:eastAsia="ru-RU"/>
    </w:rPr>
  </w:style>
  <w:style w:type="paragraph" w:customStyle="1" w:styleId="13">
    <w:name w:val="Основной текст1"/>
    <w:basedOn w:val="a"/>
    <w:next w:val="af2"/>
    <w:link w:val="af3"/>
    <w:uiPriority w:val="99"/>
    <w:semiHidden/>
    <w:unhideWhenUsed/>
    <w:pPr>
      <w:spacing w:after="120"/>
    </w:pPr>
  </w:style>
  <w:style w:type="character" w:customStyle="1" w:styleId="af3">
    <w:name w:val="Основной текст Знак"/>
    <w:basedOn w:val="a0"/>
    <w:link w:val="13"/>
    <w:uiPriority w:val="99"/>
    <w:semiHidden/>
  </w:style>
  <w:style w:type="character" w:customStyle="1" w:styleId="a7">
    <w:name w:val="Абзац списка Знак"/>
    <w:basedOn w:val="a0"/>
    <w:link w:val="a6"/>
    <w:uiPriority w:val="34"/>
    <w:locked/>
  </w:style>
  <w:style w:type="paragraph" w:customStyle="1" w:styleId="14">
    <w:name w:val="Абзац списка1"/>
    <w:basedOn w:val="a"/>
    <w:uiPriority w:val="99"/>
    <w:qFormat/>
    <w:pPr>
      <w:ind w:left="720"/>
    </w:pPr>
    <w:rPr>
      <w:rFonts w:ascii="Times New Roman" w:eastAsia="Times New Roman" w:hAnsi="Times New Roman" w:cs="Times New Roman"/>
      <w:sz w:val="24"/>
      <w:szCs w:val="20"/>
    </w:rPr>
  </w:style>
  <w:style w:type="character" w:customStyle="1" w:styleId="15">
    <w:name w:val="Гиперссылка1"/>
    <w:basedOn w:val="a0"/>
    <w:uiPriority w:val="99"/>
    <w:unhideWhenUsed/>
    <w:rPr>
      <w:color w:val="0000FF"/>
      <w:u w:val="single"/>
    </w:rPr>
  </w:style>
  <w:style w:type="paragraph" w:customStyle="1" w:styleId="2">
    <w:name w:val="Абзац списка2"/>
    <w:basedOn w:val="a"/>
    <w:pPr>
      <w:ind w:left="720"/>
    </w:pPr>
    <w:rPr>
      <w:rFonts w:ascii="Times New Roman" w:eastAsia="Times New Roman" w:hAnsi="Times New Roman" w:cs="Times New Roman"/>
      <w:sz w:val="24"/>
      <w:szCs w:val="20"/>
    </w:rPr>
  </w:style>
  <w:style w:type="paragraph" w:customStyle="1" w:styleId="24">
    <w:name w:val="Основной текст 24"/>
    <w:basedOn w:val="a"/>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0">
    <w:name w:val="Обычный2"/>
    <w:next w:val="a"/>
    <w:pPr>
      <w:spacing w:after="0" w:line="240" w:lineRule="auto"/>
    </w:pPr>
    <w:rPr>
      <w:rFonts w:ascii="Times New Roman" w:eastAsia="Times New Roman" w:hAnsi="Times New Roman" w:cs="Times New Roman"/>
      <w:noProof/>
      <w:sz w:val="20"/>
      <w:szCs w:val="20"/>
      <w:lang w:eastAsia="ru-RU"/>
    </w:rPr>
  </w:style>
  <w:style w:type="paragraph" w:customStyle="1" w:styleId="16">
    <w:name w:val="1.Текст"/>
    <w:link w:val="17"/>
    <w:qFormat/>
    <w:pPr>
      <w:suppressLineNumbers/>
      <w:spacing w:before="60" w:after="0" w:line="240" w:lineRule="auto"/>
      <w:ind w:firstLine="851"/>
      <w:jc w:val="both"/>
    </w:pPr>
    <w:rPr>
      <w:rFonts w:ascii="Arial" w:eastAsia="Times New Roman" w:hAnsi="Arial" w:cs="Times New Roman"/>
      <w:sz w:val="24"/>
      <w:szCs w:val="20"/>
      <w:lang w:eastAsia="ru-RU"/>
    </w:rPr>
  </w:style>
  <w:style w:type="character" w:customStyle="1" w:styleId="17">
    <w:name w:val="1.Текст Знак"/>
    <w:link w:val="16"/>
    <w:rPr>
      <w:rFonts w:ascii="Arial" w:eastAsia="Times New Roman" w:hAnsi="Arial" w:cs="Times New Roman"/>
      <w:sz w:val="24"/>
      <w:szCs w:val="20"/>
      <w:lang w:eastAsia="ru-RU"/>
    </w:rPr>
  </w:style>
  <w:style w:type="paragraph" w:customStyle="1" w:styleId="ConsPlusNonformat">
    <w:name w:val="ConsPlusNonformat"/>
    <w:q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msonospacingmrcssattr">
    <w:name w:val="msonospacing_mr_css_attr"/>
    <w:basedOn w:val="a"/>
    <w:uiPriority w:val="99"/>
    <w:semiHidden/>
    <w:pPr>
      <w:spacing w:before="100" w:beforeAutospacing="1" w:after="100" w:afterAutospacing="1" w:line="240" w:lineRule="auto"/>
    </w:pPr>
    <w:rPr>
      <w:rFonts w:ascii="Times New Roman" w:hAnsi="Times New Roman" w:cs="Times New Roman"/>
      <w:sz w:val="24"/>
      <w:szCs w:val="24"/>
      <w:lang w:eastAsia="ru-RU"/>
    </w:rPr>
  </w:style>
  <w:style w:type="paragraph" w:customStyle="1" w:styleId="210">
    <w:name w:val="Основной текст с отступом 21"/>
    <w:basedOn w:val="a"/>
    <w:next w:val="22"/>
    <w:link w:val="23"/>
    <w:uiPriority w:val="99"/>
    <w:unhideWhenUsed/>
    <w:pPr>
      <w:spacing w:after="120" w:line="480" w:lineRule="auto"/>
      <w:ind w:left="283"/>
    </w:pPr>
  </w:style>
  <w:style w:type="character" w:customStyle="1" w:styleId="23">
    <w:name w:val="Основной текст с отступом 2 Знак"/>
    <w:basedOn w:val="a0"/>
    <w:link w:val="210"/>
    <w:uiPriority w:val="99"/>
  </w:style>
  <w:style w:type="paragraph" w:styleId="af2">
    <w:name w:val="Body Text"/>
    <w:basedOn w:val="a"/>
    <w:link w:val="18"/>
    <w:uiPriority w:val="99"/>
    <w:semiHidden/>
    <w:unhideWhenUsed/>
    <w:pPr>
      <w:spacing w:after="120"/>
    </w:pPr>
  </w:style>
  <w:style w:type="character" w:customStyle="1" w:styleId="18">
    <w:name w:val="Основной текст Знак1"/>
    <w:basedOn w:val="a0"/>
    <w:link w:val="af2"/>
    <w:uiPriority w:val="99"/>
    <w:semiHidden/>
  </w:style>
  <w:style w:type="character" w:styleId="af4">
    <w:name w:val="Hyperlink"/>
    <w:basedOn w:val="a0"/>
    <w:uiPriority w:val="99"/>
    <w:semiHidden/>
    <w:unhideWhenUsed/>
    <w:rPr>
      <w:color w:val="0000FF" w:themeColor="hyperlink"/>
      <w:u w:val="single"/>
    </w:rPr>
  </w:style>
  <w:style w:type="paragraph" w:styleId="22">
    <w:name w:val="Body Text Indent 2"/>
    <w:basedOn w:val="a"/>
    <w:link w:val="211"/>
    <w:uiPriority w:val="99"/>
    <w:semiHidden/>
    <w:unhideWhenUsed/>
    <w:pPr>
      <w:spacing w:after="120" w:line="480" w:lineRule="auto"/>
      <w:ind w:left="283"/>
    </w:pPr>
  </w:style>
  <w:style w:type="character" w:customStyle="1" w:styleId="211">
    <w:name w:val="Основной текст с отступом 2 Знак1"/>
    <w:basedOn w:val="a0"/>
    <w:link w:val="22"/>
    <w:uiPriority w:val="99"/>
    <w:semiHidden/>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
    <w:name w:val="Абзац списка3"/>
    <w:basedOn w:val="a"/>
    <w:pPr>
      <w:ind w:left="720"/>
    </w:pPr>
    <w:rPr>
      <w:rFonts w:ascii="Times New Roman" w:eastAsia="Times New Roman" w:hAnsi="Times New Roman" w:cs="Times New Roman"/>
      <w:sz w:val="24"/>
      <w:szCs w:val="20"/>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style>
  <w:style w:type="paragraph" w:customStyle="1" w:styleId="ds-markdown-paragraph">
    <w:name w:val="ds-markdown-paragraph"/>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5291">
      <w:bodyDiv w:val="1"/>
      <w:marLeft w:val="0"/>
      <w:marRight w:val="0"/>
      <w:marTop w:val="0"/>
      <w:marBottom w:val="0"/>
      <w:divBdr>
        <w:top w:val="none" w:sz="0" w:space="0" w:color="auto"/>
        <w:left w:val="none" w:sz="0" w:space="0" w:color="auto"/>
        <w:bottom w:val="none" w:sz="0" w:space="0" w:color="auto"/>
        <w:right w:val="none" w:sz="0" w:space="0" w:color="auto"/>
      </w:divBdr>
    </w:div>
    <w:div w:id="28770372">
      <w:bodyDiv w:val="1"/>
      <w:marLeft w:val="0"/>
      <w:marRight w:val="0"/>
      <w:marTop w:val="0"/>
      <w:marBottom w:val="0"/>
      <w:divBdr>
        <w:top w:val="none" w:sz="0" w:space="0" w:color="auto"/>
        <w:left w:val="none" w:sz="0" w:space="0" w:color="auto"/>
        <w:bottom w:val="none" w:sz="0" w:space="0" w:color="auto"/>
        <w:right w:val="none" w:sz="0" w:space="0" w:color="auto"/>
      </w:divBdr>
    </w:div>
    <w:div w:id="62336613">
      <w:bodyDiv w:val="1"/>
      <w:marLeft w:val="0"/>
      <w:marRight w:val="0"/>
      <w:marTop w:val="0"/>
      <w:marBottom w:val="0"/>
      <w:divBdr>
        <w:top w:val="none" w:sz="0" w:space="0" w:color="auto"/>
        <w:left w:val="none" w:sz="0" w:space="0" w:color="auto"/>
        <w:bottom w:val="none" w:sz="0" w:space="0" w:color="auto"/>
        <w:right w:val="none" w:sz="0" w:space="0" w:color="auto"/>
      </w:divBdr>
    </w:div>
    <w:div w:id="181016962">
      <w:bodyDiv w:val="1"/>
      <w:marLeft w:val="0"/>
      <w:marRight w:val="0"/>
      <w:marTop w:val="0"/>
      <w:marBottom w:val="0"/>
      <w:divBdr>
        <w:top w:val="none" w:sz="0" w:space="0" w:color="auto"/>
        <w:left w:val="none" w:sz="0" w:space="0" w:color="auto"/>
        <w:bottom w:val="none" w:sz="0" w:space="0" w:color="auto"/>
        <w:right w:val="none" w:sz="0" w:space="0" w:color="auto"/>
      </w:divBdr>
    </w:div>
    <w:div w:id="243300160">
      <w:bodyDiv w:val="1"/>
      <w:marLeft w:val="0"/>
      <w:marRight w:val="0"/>
      <w:marTop w:val="0"/>
      <w:marBottom w:val="0"/>
      <w:divBdr>
        <w:top w:val="none" w:sz="0" w:space="0" w:color="auto"/>
        <w:left w:val="none" w:sz="0" w:space="0" w:color="auto"/>
        <w:bottom w:val="none" w:sz="0" w:space="0" w:color="auto"/>
        <w:right w:val="none" w:sz="0" w:space="0" w:color="auto"/>
      </w:divBdr>
    </w:div>
    <w:div w:id="306859814">
      <w:bodyDiv w:val="1"/>
      <w:marLeft w:val="0"/>
      <w:marRight w:val="0"/>
      <w:marTop w:val="0"/>
      <w:marBottom w:val="0"/>
      <w:divBdr>
        <w:top w:val="none" w:sz="0" w:space="0" w:color="auto"/>
        <w:left w:val="none" w:sz="0" w:space="0" w:color="auto"/>
        <w:bottom w:val="none" w:sz="0" w:space="0" w:color="auto"/>
        <w:right w:val="none" w:sz="0" w:space="0" w:color="auto"/>
      </w:divBdr>
    </w:div>
    <w:div w:id="319888805">
      <w:bodyDiv w:val="1"/>
      <w:marLeft w:val="0"/>
      <w:marRight w:val="0"/>
      <w:marTop w:val="0"/>
      <w:marBottom w:val="0"/>
      <w:divBdr>
        <w:top w:val="none" w:sz="0" w:space="0" w:color="auto"/>
        <w:left w:val="none" w:sz="0" w:space="0" w:color="auto"/>
        <w:bottom w:val="none" w:sz="0" w:space="0" w:color="auto"/>
        <w:right w:val="none" w:sz="0" w:space="0" w:color="auto"/>
      </w:divBdr>
    </w:div>
    <w:div w:id="331683786">
      <w:bodyDiv w:val="1"/>
      <w:marLeft w:val="0"/>
      <w:marRight w:val="0"/>
      <w:marTop w:val="0"/>
      <w:marBottom w:val="0"/>
      <w:divBdr>
        <w:top w:val="none" w:sz="0" w:space="0" w:color="auto"/>
        <w:left w:val="none" w:sz="0" w:space="0" w:color="auto"/>
        <w:bottom w:val="none" w:sz="0" w:space="0" w:color="auto"/>
        <w:right w:val="none" w:sz="0" w:space="0" w:color="auto"/>
      </w:divBdr>
    </w:div>
    <w:div w:id="396249032">
      <w:bodyDiv w:val="1"/>
      <w:marLeft w:val="0"/>
      <w:marRight w:val="0"/>
      <w:marTop w:val="0"/>
      <w:marBottom w:val="0"/>
      <w:divBdr>
        <w:top w:val="none" w:sz="0" w:space="0" w:color="auto"/>
        <w:left w:val="none" w:sz="0" w:space="0" w:color="auto"/>
        <w:bottom w:val="none" w:sz="0" w:space="0" w:color="auto"/>
        <w:right w:val="none" w:sz="0" w:space="0" w:color="auto"/>
      </w:divBdr>
    </w:div>
    <w:div w:id="424420246">
      <w:bodyDiv w:val="1"/>
      <w:marLeft w:val="0"/>
      <w:marRight w:val="0"/>
      <w:marTop w:val="0"/>
      <w:marBottom w:val="0"/>
      <w:divBdr>
        <w:top w:val="none" w:sz="0" w:space="0" w:color="auto"/>
        <w:left w:val="none" w:sz="0" w:space="0" w:color="auto"/>
        <w:bottom w:val="none" w:sz="0" w:space="0" w:color="auto"/>
        <w:right w:val="none" w:sz="0" w:space="0" w:color="auto"/>
      </w:divBdr>
    </w:div>
    <w:div w:id="447355464">
      <w:bodyDiv w:val="1"/>
      <w:marLeft w:val="0"/>
      <w:marRight w:val="0"/>
      <w:marTop w:val="0"/>
      <w:marBottom w:val="0"/>
      <w:divBdr>
        <w:top w:val="none" w:sz="0" w:space="0" w:color="auto"/>
        <w:left w:val="none" w:sz="0" w:space="0" w:color="auto"/>
        <w:bottom w:val="none" w:sz="0" w:space="0" w:color="auto"/>
        <w:right w:val="none" w:sz="0" w:space="0" w:color="auto"/>
      </w:divBdr>
    </w:div>
    <w:div w:id="461388222">
      <w:bodyDiv w:val="1"/>
      <w:marLeft w:val="0"/>
      <w:marRight w:val="0"/>
      <w:marTop w:val="0"/>
      <w:marBottom w:val="0"/>
      <w:divBdr>
        <w:top w:val="none" w:sz="0" w:space="0" w:color="auto"/>
        <w:left w:val="none" w:sz="0" w:space="0" w:color="auto"/>
        <w:bottom w:val="none" w:sz="0" w:space="0" w:color="auto"/>
        <w:right w:val="none" w:sz="0" w:space="0" w:color="auto"/>
      </w:divBdr>
    </w:div>
    <w:div w:id="467209156">
      <w:bodyDiv w:val="1"/>
      <w:marLeft w:val="0"/>
      <w:marRight w:val="0"/>
      <w:marTop w:val="0"/>
      <w:marBottom w:val="0"/>
      <w:divBdr>
        <w:top w:val="none" w:sz="0" w:space="0" w:color="auto"/>
        <w:left w:val="none" w:sz="0" w:space="0" w:color="auto"/>
        <w:bottom w:val="none" w:sz="0" w:space="0" w:color="auto"/>
        <w:right w:val="none" w:sz="0" w:space="0" w:color="auto"/>
      </w:divBdr>
    </w:div>
    <w:div w:id="488987443">
      <w:bodyDiv w:val="1"/>
      <w:marLeft w:val="0"/>
      <w:marRight w:val="0"/>
      <w:marTop w:val="0"/>
      <w:marBottom w:val="0"/>
      <w:divBdr>
        <w:top w:val="none" w:sz="0" w:space="0" w:color="auto"/>
        <w:left w:val="none" w:sz="0" w:space="0" w:color="auto"/>
        <w:bottom w:val="none" w:sz="0" w:space="0" w:color="auto"/>
        <w:right w:val="none" w:sz="0" w:space="0" w:color="auto"/>
      </w:divBdr>
      <w:divsChild>
        <w:div w:id="1372849314">
          <w:marLeft w:val="0"/>
          <w:marRight w:val="0"/>
          <w:marTop w:val="0"/>
          <w:marBottom w:val="0"/>
          <w:divBdr>
            <w:top w:val="none" w:sz="0" w:space="0" w:color="auto"/>
            <w:left w:val="none" w:sz="0" w:space="0" w:color="auto"/>
            <w:bottom w:val="none" w:sz="0" w:space="0" w:color="auto"/>
            <w:right w:val="none" w:sz="0" w:space="0" w:color="auto"/>
          </w:divBdr>
          <w:divsChild>
            <w:div w:id="923807035">
              <w:marLeft w:val="0"/>
              <w:marRight w:val="0"/>
              <w:marTop w:val="0"/>
              <w:marBottom w:val="0"/>
              <w:divBdr>
                <w:top w:val="none" w:sz="0" w:space="0" w:color="auto"/>
                <w:left w:val="none" w:sz="0" w:space="0" w:color="auto"/>
                <w:bottom w:val="none" w:sz="0" w:space="0" w:color="auto"/>
                <w:right w:val="none" w:sz="0" w:space="0" w:color="auto"/>
              </w:divBdr>
              <w:divsChild>
                <w:div w:id="55400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81617">
          <w:marLeft w:val="0"/>
          <w:marRight w:val="0"/>
          <w:marTop w:val="0"/>
          <w:marBottom w:val="0"/>
          <w:divBdr>
            <w:top w:val="none" w:sz="0" w:space="0" w:color="auto"/>
            <w:left w:val="none" w:sz="0" w:space="0" w:color="auto"/>
            <w:bottom w:val="none" w:sz="0" w:space="0" w:color="auto"/>
            <w:right w:val="none" w:sz="0" w:space="0" w:color="auto"/>
          </w:divBdr>
          <w:divsChild>
            <w:div w:id="303433968">
              <w:marLeft w:val="0"/>
              <w:marRight w:val="0"/>
              <w:marTop w:val="0"/>
              <w:marBottom w:val="0"/>
              <w:divBdr>
                <w:top w:val="none" w:sz="0" w:space="0" w:color="auto"/>
                <w:left w:val="none" w:sz="0" w:space="0" w:color="auto"/>
                <w:bottom w:val="none" w:sz="0" w:space="0" w:color="auto"/>
                <w:right w:val="none" w:sz="0" w:space="0" w:color="auto"/>
              </w:divBdr>
              <w:divsChild>
                <w:div w:id="14227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645373">
      <w:bodyDiv w:val="1"/>
      <w:marLeft w:val="0"/>
      <w:marRight w:val="0"/>
      <w:marTop w:val="0"/>
      <w:marBottom w:val="0"/>
      <w:divBdr>
        <w:top w:val="none" w:sz="0" w:space="0" w:color="auto"/>
        <w:left w:val="none" w:sz="0" w:space="0" w:color="auto"/>
        <w:bottom w:val="none" w:sz="0" w:space="0" w:color="auto"/>
        <w:right w:val="none" w:sz="0" w:space="0" w:color="auto"/>
      </w:divBdr>
    </w:div>
    <w:div w:id="527334326">
      <w:bodyDiv w:val="1"/>
      <w:marLeft w:val="0"/>
      <w:marRight w:val="0"/>
      <w:marTop w:val="0"/>
      <w:marBottom w:val="0"/>
      <w:divBdr>
        <w:top w:val="none" w:sz="0" w:space="0" w:color="auto"/>
        <w:left w:val="none" w:sz="0" w:space="0" w:color="auto"/>
        <w:bottom w:val="none" w:sz="0" w:space="0" w:color="auto"/>
        <w:right w:val="none" w:sz="0" w:space="0" w:color="auto"/>
      </w:divBdr>
      <w:divsChild>
        <w:div w:id="185368402">
          <w:marLeft w:val="0"/>
          <w:marRight w:val="0"/>
          <w:marTop w:val="0"/>
          <w:marBottom w:val="0"/>
          <w:divBdr>
            <w:top w:val="none" w:sz="0" w:space="0" w:color="auto"/>
            <w:left w:val="none" w:sz="0" w:space="0" w:color="auto"/>
            <w:bottom w:val="none" w:sz="0" w:space="0" w:color="auto"/>
            <w:right w:val="none" w:sz="0" w:space="0" w:color="auto"/>
          </w:divBdr>
          <w:divsChild>
            <w:div w:id="1179349607">
              <w:marLeft w:val="0"/>
              <w:marRight w:val="0"/>
              <w:marTop w:val="0"/>
              <w:marBottom w:val="0"/>
              <w:divBdr>
                <w:top w:val="none" w:sz="0" w:space="0" w:color="auto"/>
                <w:left w:val="none" w:sz="0" w:space="0" w:color="auto"/>
                <w:bottom w:val="none" w:sz="0" w:space="0" w:color="auto"/>
                <w:right w:val="none" w:sz="0" w:space="0" w:color="auto"/>
              </w:divBdr>
              <w:divsChild>
                <w:div w:id="5282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24914">
          <w:marLeft w:val="0"/>
          <w:marRight w:val="0"/>
          <w:marTop w:val="0"/>
          <w:marBottom w:val="0"/>
          <w:divBdr>
            <w:top w:val="none" w:sz="0" w:space="0" w:color="auto"/>
            <w:left w:val="none" w:sz="0" w:space="0" w:color="auto"/>
            <w:bottom w:val="none" w:sz="0" w:space="0" w:color="auto"/>
            <w:right w:val="none" w:sz="0" w:space="0" w:color="auto"/>
          </w:divBdr>
          <w:divsChild>
            <w:div w:id="1011759234">
              <w:marLeft w:val="0"/>
              <w:marRight w:val="0"/>
              <w:marTop w:val="0"/>
              <w:marBottom w:val="0"/>
              <w:divBdr>
                <w:top w:val="none" w:sz="0" w:space="0" w:color="auto"/>
                <w:left w:val="none" w:sz="0" w:space="0" w:color="auto"/>
                <w:bottom w:val="none" w:sz="0" w:space="0" w:color="auto"/>
                <w:right w:val="none" w:sz="0" w:space="0" w:color="auto"/>
              </w:divBdr>
              <w:divsChild>
                <w:div w:id="4465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445236">
      <w:bodyDiv w:val="1"/>
      <w:marLeft w:val="0"/>
      <w:marRight w:val="0"/>
      <w:marTop w:val="0"/>
      <w:marBottom w:val="0"/>
      <w:divBdr>
        <w:top w:val="none" w:sz="0" w:space="0" w:color="auto"/>
        <w:left w:val="none" w:sz="0" w:space="0" w:color="auto"/>
        <w:bottom w:val="none" w:sz="0" w:space="0" w:color="auto"/>
        <w:right w:val="none" w:sz="0" w:space="0" w:color="auto"/>
      </w:divBdr>
    </w:div>
    <w:div w:id="701825883">
      <w:bodyDiv w:val="1"/>
      <w:marLeft w:val="0"/>
      <w:marRight w:val="0"/>
      <w:marTop w:val="0"/>
      <w:marBottom w:val="0"/>
      <w:divBdr>
        <w:top w:val="none" w:sz="0" w:space="0" w:color="auto"/>
        <w:left w:val="none" w:sz="0" w:space="0" w:color="auto"/>
        <w:bottom w:val="none" w:sz="0" w:space="0" w:color="auto"/>
        <w:right w:val="none" w:sz="0" w:space="0" w:color="auto"/>
      </w:divBdr>
    </w:div>
    <w:div w:id="841090408">
      <w:bodyDiv w:val="1"/>
      <w:marLeft w:val="0"/>
      <w:marRight w:val="0"/>
      <w:marTop w:val="0"/>
      <w:marBottom w:val="0"/>
      <w:divBdr>
        <w:top w:val="none" w:sz="0" w:space="0" w:color="auto"/>
        <w:left w:val="none" w:sz="0" w:space="0" w:color="auto"/>
        <w:bottom w:val="none" w:sz="0" w:space="0" w:color="auto"/>
        <w:right w:val="none" w:sz="0" w:space="0" w:color="auto"/>
      </w:divBdr>
    </w:div>
    <w:div w:id="863204361">
      <w:bodyDiv w:val="1"/>
      <w:marLeft w:val="0"/>
      <w:marRight w:val="0"/>
      <w:marTop w:val="0"/>
      <w:marBottom w:val="0"/>
      <w:divBdr>
        <w:top w:val="none" w:sz="0" w:space="0" w:color="auto"/>
        <w:left w:val="none" w:sz="0" w:space="0" w:color="auto"/>
        <w:bottom w:val="none" w:sz="0" w:space="0" w:color="auto"/>
        <w:right w:val="none" w:sz="0" w:space="0" w:color="auto"/>
      </w:divBdr>
    </w:div>
    <w:div w:id="979654226">
      <w:bodyDiv w:val="1"/>
      <w:marLeft w:val="0"/>
      <w:marRight w:val="0"/>
      <w:marTop w:val="0"/>
      <w:marBottom w:val="0"/>
      <w:divBdr>
        <w:top w:val="none" w:sz="0" w:space="0" w:color="auto"/>
        <w:left w:val="none" w:sz="0" w:space="0" w:color="auto"/>
        <w:bottom w:val="none" w:sz="0" w:space="0" w:color="auto"/>
        <w:right w:val="none" w:sz="0" w:space="0" w:color="auto"/>
      </w:divBdr>
    </w:div>
    <w:div w:id="1041444889">
      <w:bodyDiv w:val="1"/>
      <w:marLeft w:val="0"/>
      <w:marRight w:val="0"/>
      <w:marTop w:val="0"/>
      <w:marBottom w:val="0"/>
      <w:divBdr>
        <w:top w:val="none" w:sz="0" w:space="0" w:color="auto"/>
        <w:left w:val="none" w:sz="0" w:space="0" w:color="auto"/>
        <w:bottom w:val="none" w:sz="0" w:space="0" w:color="auto"/>
        <w:right w:val="none" w:sz="0" w:space="0" w:color="auto"/>
      </w:divBdr>
    </w:div>
    <w:div w:id="1101727361">
      <w:bodyDiv w:val="1"/>
      <w:marLeft w:val="0"/>
      <w:marRight w:val="0"/>
      <w:marTop w:val="0"/>
      <w:marBottom w:val="0"/>
      <w:divBdr>
        <w:top w:val="none" w:sz="0" w:space="0" w:color="auto"/>
        <w:left w:val="none" w:sz="0" w:space="0" w:color="auto"/>
        <w:bottom w:val="none" w:sz="0" w:space="0" w:color="auto"/>
        <w:right w:val="none" w:sz="0" w:space="0" w:color="auto"/>
      </w:divBdr>
    </w:div>
    <w:div w:id="1238827881">
      <w:bodyDiv w:val="1"/>
      <w:marLeft w:val="0"/>
      <w:marRight w:val="0"/>
      <w:marTop w:val="0"/>
      <w:marBottom w:val="0"/>
      <w:divBdr>
        <w:top w:val="none" w:sz="0" w:space="0" w:color="auto"/>
        <w:left w:val="none" w:sz="0" w:space="0" w:color="auto"/>
        <w:bottom w:val="none" w:sz="0" w:space="0" w:color="auto"/>
        <w:right w:val="none" w:sz="0" w:space="0" w:color="auto"/>
      </w:divBdr>
    </w:div>
    <w:div w:id="1243681667">
      <w:bodyDiv w:val="1"/>
      <w:marLeft w:val="0"/>
      <w:marRight w:val="0"/>
      <w:marTop w:val="0"/>
      <w:marBottom w:val="0"/>
      <w:divBdr>
        <w:top w:val="none" w:sz="0" w:space="0" w:color="auto"/>
        <w:left w:val="none" w:sz="0" w:space="0" w:color="auto"/>
        <w:bottom w:val="none" w:sz="0" w:space="0" w:color="auto"/>
        <w:right w:val="none" w:sz="0" w:space="0" w:color="auto"/>
      </w:divBdr>
    </w:div>
    <w:div w:id="1326013847">
      <w:bodyDiv w:val="1"/>
      <w:marLeft w:val="0"/>
      <w:marRight w:val="0"/>
      <w:marTop w:val="0"/>
      <w:marBottom w:val="0"/>
      <w:divBdr>
        <w:top w:val="none" w:sz="0" w:space="0" w:color="auto"/>
        <w:left w:val="none" w:sz="0" w:space="0" w:color="auto"/>
        <w:bottom w:val="none" w:sz="0" w:space="0" w:color="auto"/>
        <w:right w:val="none" w:sz="0" w:space="0" w:color="auto"/>
      </w:divBdr>
    </w:div>
    <w:div w:id="1496989417">
      <w:bodyDiv w:val="1"/>
      <w:marLeft w:val="0"/>
      <w:marRight w:val="0"/>
      <w:marTop w:val="0"/>
      <w:marBottom w:val="0"/>
      <w:divBdr>
        <w:top w:val="none" w:sz="0" w:space="0" w:color="auto"/>
        <w:left w:val="none" w:sz="0" w:space="0" w:color="auto"/>
        <w:bottom w:val="none" w:sz="0" w:space="0" w:color="auto"/>
        <w:right w:val="none" w:sz="0" w:space="0" w:color="auto"/>
      </w:divBdr>
    </w:div>
    <w:div w:id="1527938608">
      <w:bodyDiv w:val="1"/>
      <w:marLeft w:val="0"/>
      <w:marRight w:val="0"/>
      <w:marTop w:val="0"/>
      <w:marBottom w:val="0"/>
      <w:divBdr>
        <w:top w:val="none" w:sz="0" w:space="0" w:color="auto"/>
        <w:left w:val="none" w:sz="0" w:space="0" w:color="auto"/>
        <w:bottom w:val="none" w:sz="0" w:space="0" w:color="auto"/>
        <w:right w:val="none" w:sz="0" w:space="0" w:color="auto"/>
      </w:divBdr>
    </w:div>
    <w:div w:id="1604730374">
      <w:bodyDiv w:val="1"/>
      <w:marLeft w:val="0"/>
      <w:marRight w:val="0"/>
      <w:marTop w:val="0"/>
      <w:marBottom w:val="0"/>
      <w:divBdr>
        <w:top w:val="none" w:sz="0" w:space="0" w:color="auto"/>
        <w:left w:val="none" w:sz="0" w:space="0" w:color="auto"/>
        <w:bottom w:val="none" w:sz="0" w:space="0" w:color="auto"/>
        <w:right w:val="none" w:sz="0" w:space="0" w:color="auto"/>
      </w:divBdr>
    </w:div>
    <w:div w:id="1674408337">
      <w:bodyDiv w:val="1"/>
      <w:marLeft w:val="0"/>
      <w:marRight w:val="0"/>
      <w:marTop w:val="0"/>
      <w:marBottom w:val="0"/>
      <w:divBdr>
        <w:top w:val="none" w:sz="0" w:space="0" w:color="auto"/>
        <w:left w:val="none" w:sz="0" w:space="0" w:color="auto"/>
        <w:bottom w:val="none" w:sz="0" w:space="0" w:color="auto"/>
        <w:right w:val="none" w:sz="0" w:space="0" w:color="auto"/>
      </w:divBdr>
    </w:div>
    <w:div w:id="1709840479">
      <w:bodyDiv w:val="1"/>
      <w:marLeft w:val="0"/>
      <w:marRight w:val="0"/>
      <w:marTop w:val="0"/>
      <w:marBottom w:val="0"/>
      <w:divBdr>
        <w:top w:val="none" w:sz="0" w:space="0" w:color="auto"/>
        <w:left w:val="none" w:sz="0" w:space="0" w:color="auto"/>
        <w:bottom w:val="none" w:sz="0" w:space="0" w:color="auto"/>
        <w:right w:val="none" w:sz="0" w:space="0" w:color="auto"/>
      </w:divBdr>
    </w:div>
    <w:div w:id="1806581644">
      <w:bodyDiv w:val="1"/>
      <w:marLeft w:val="0"/>
      <w:marRight w:val="0"/>
      <w:marTop w:val="0"/>
      <w:marBottom w:val="0"/>
      <w:divBdr>
        <w:top w:val="none" w:sz="0" w:space="0" w:color="auto"/>
        <w:left w:val="none" w:sz="0" w:space="0" w:color="auto"/>
        <w:bottom w:val="none" w:sz="0" w:space="0" w:color="auto"/>
        <w:right w:val="none" w:sz="0" w:space="0" w:color="auto"/>
      </w:divBdr>
    </w:div>
    <w:div w:id="1821116397">
      <w:bodyDiv w:val="1"/>
      <w:marLeft w:val="0"/>
      <w:marRight w:val="0"/>
      <w:marTop w:val="0"/>
      <w:marBottom w:val="0"/>
      <w:divBdr>
        <w:top w:val="none" w:sz="0" w:space="0" w:color="auto"/>
        <w:left w:val="none" w:sz="0" w:space="0" w:color="auto"/>
        <w:bottom w:val="none" w:sz="0" w:space="0" w:color="auto"/>
        <w:right w:val="none" w:sz="0" w:space="0" w:color="auto"/>
      </w:divBdr>
    </w:div>
    <w:div w:id="1906404894">
      <w:bodyDiv w:val="1"/>
      <w:marLeft w:val="0"/>
      <w:marRight w:val="0"/>
      <w:marTop w:val="0"/>
      <w:marBottom w:val="0"/>
      <w:divBdr>
        <w:top w:val="none" w:sz="0" w:space="0" w:color="auto"/>
        <w:left w:val="none" w:sz="0" w:space="0" w:color="auto"/>
        <w:bottom w:val="none" w:sz="0" w:space="0" w:color="auto"/>
        <w:right w:val="none" w:sz="0" w:space="0" w:color="auto"/>
      </w:divBdr>
    </w:div>
    <w:div w:id="2060473350">
      <w:bodyDiv w:val="1"/>
      <w:marLeft w:val="0"/>
      <w:marRight w:val="0"/>
      <w:marTop w:val="0"/>
      <w:marBottom w:val="0"/>
      <w:divBdr>
        <w:top w:val="none" w:sz="0" w:space="0" w:color="auto"/>
        <w:left w:val="none" w:sz="0" w:space="0" w:color="auto"/>
        <w:bottom w:val="none" w:sz="0" w:space="0" w:color="auto"/>
        <w:right w:val="none" w:sz="0" w:space="0" w:color="auto"/>
      </w:divBdr>
    </w:div>
    <w:div w:id="20911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36</Pages>
  <Words>17365</Words>
  <Characters>98986</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Администрация</cp:lastModifiedBy>
  <cp:revision>25</cp:revision>
  <cp:lastPrinted>2026-04-13T11:55:00Z</cp:lastPrinted>
  <dcterms:created xsi:type="dcterms:W3CDTF">2026-03-10T08:02:00Z</dcterms:created>
  <dcterms:modified xsi:type="dcterms:W3CDTF">2026-04-13T11:57:00Z</dcterms:modified>
</cp:coreProperties>
</file>